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F2B0" w14:textId="027BF2B6" w:rsidR="008B6524" w:rsidRPr="008B6524" w:rsidRDefault="008B6524" w:rsidP="00877E8E">
      <w:pPr>
        <w:jc w:val="center"/>
        <w:rPr>
          <w:rFonts w:ascii="Century Gothic" w:hAnsi="Century Gothic"/>
          <w:b/>
          <w:bCs/>
          <w:sz w:val="28"/>
          <w:szCs w:val="28"/>
        </w:rPr>
      </w:pPr>
      <w:r w:rsidRPr="008B6524">
        <w:rPr>
          <w:rFonts w:ascii="Century Gothic" w:hAnsi="Century Gothic"/>
          <w:b/>
          <w:bCs/>
          <w:sz w:val="28"/>
          <w:szCs w:val="28"/>
        </w:rPr>
        <w:t>Nutshell Growth Fund</w:t>
      </w:r>
      <w:r w:rsidR="00830431">
        <w:rPr>
          <w:rFonts w:ascii="Century Gothic" w:hAnsi="Century Gothic"/>
          <w:b/>
          <w:bCs/>
          <w:sz w:val="28"/>
          <w:szCs w:val="28"/>
        </w:rPr>
        <w:t xml:space="preserve"> (the “Sub-Fund”)</w:t>
      </w:r>
    </w:p>
    <w:p w14:paraId="56CD32AF" w14:textId="14922A92" w:rsidR="00E1401E" w:rsidRPr="008B6524" w:rsidRDefault="006E1A27" w:rsidP="00877E8E">
      <w:pPr>
        <w:jc w:val="center"/>
        <w:rPr>
          <w:rFonts w:ascii="Century Gothic" w:hAnsi="Century Gothic"/>
          <w:b/>
          <w:bCs/>
          <w:sz w:val="28"/>
          <w:szCs w:val="28"/>
        </w:rPr>
      </w:pPr>
      <w:r w:rsidRPr="008B6524">
        <w:rPr>
          <w:rFonts w:ascii="Century Gothic" w:hAnsi="Century Gothic"/>
          <w:b/>
          <w:bCs/>
          <w:sz w:val="28"/>
          <w:szCs w:val="28"/>
        </w:rPr>
        <w:t>Sustainability Related Disclosures</w:t>
      </w:r>
      <w:r w:rsidR="00093A96">
        <w:rPr>
          <w:rFonts w:ascii="Century Gothic" w:hAnsi="Century Gothic"/>
          <w:b/>
          <w:bCs/>
          <w:sz w:val="28"/>
          <w:szCs w:val="28"/>
        </w:rPr>
        <w:t xml:space="preserve"> – December 2022</w:t>
      </w:r>
    </w:p>
    <w:p w14:paraId="1B32C9C2" w14:textId="77777777" w:rsidR="00CF2719" w:rsidRDefault="00CF2719" w:rsidP="00CF2719">
      <w:pPr>
        <w:jc w:val="both"/>
        <w:rPr>
          <w:rFonts w:ascii="Century Gothic" w:hAnsi="Century Gothic"/>
        </w:rPr>
      </w:pPr>
      <w:r w:rsidRPr="004A0869">
        <w:rPr>
          <w:rFonts w:ascii="Century Gothic" w:hAnsi="Century Gothic"/>
        </w:rPr>
        <w:t xml:space="preserve">Nutshell Asset Management Limited </w:t>
      </w:r>
      <w:r>
        <w:rPr>
          <w:rFonts w:ascii="Century Gothic" w:hAnsi="Century Gothic"/>
        </w:rPr>
        <w:t xml:space="preserve">(the “Investment Manager”) </w:t>
      </w:r>
      <w:r w:rsidRPr="004A0869">
        <w:rPr>
          <w:rFonts w:ascii="Century Gothic" w:hAnsi="Century Gothic"/>
        </w:rPr>
        <w:t>is providing these Sustainability-Related Disclosures for the following actively managed financial</w:t>
      </w:r>
      <w:r>
        <w:rPr>
          <w:rFonts w:ascii="Century Gothic" w:hAnsi="Century Gothic"/>
        </w:rPr>
        <w:t xml:space="preserve"> </w:t>
      </w:r>
      <w:r w:rsidRPr="004A0869">
        <w:rPr>
          <w:rFonts w:ascii="Century Gothic" w:hAnsi="Century Gothic"/>
        </w:rPr>
        <w:t>products pursuant to Article 8(1) of the Sustainable Finance Disclosure Regulation 2019/2088:</w:t>
      </w:r>
    </w:p>
    <w:p w14:paraId="0672C676" w14:textId="77777777" w:rsidR="00CF2719" w:rsidRDefault="00CF2719" w:rsidP="00CF2719">
      <w:pPr>
        <w:spacing w:after="0" w:line="240" w:lineRule="auto"/>
        <w:ind w:left="720"/>
        <w:jc w:val="both"/>
        <w:rPr>
          <w:rFonts w:ascii="Century Gothic" w:hAnsi="Century Gothic"/>
        </w:rPr>
      </w:pPr>
      <w:r w:rsidRPr="005B003E">
        <w:rPr>
          <w:rFonts w:ascii="Century Gothic" w:hAnsi="Century Gothic"/>
        </w:rPr>
        <w:t>•</w:t>
      </w:r>
      <w:r>
        <w:rPr>
          <w:rFonts w:ascii="Century Gothic" w:hAnsi="Century Gothic"/>
        </w:rPr>
        <w:t>Nutshell Growth Fund</w:t>
      </w:r>
    </w:p>
    <w:p w14:paraId="666B3FA8" w14:textId="5129F04A" w:rsidR="006E1A27" w:rsidRPr="008B6524" w:rsidRDefault="006E1A27" w:rsidP="00877E8E">
      <w:pPr>
        <w:jc w:val="both"/>
        <w:rPr>
          <w:rFonts w:ascii="Century Gothic" w:hAnsi="Century Gothic"/>
        </w:rPr>
      </w:pPr>
    </w:p>
    <w:p w14:paraId="50F4333A" w14:textId="2C98A13C" w:rsidR="008B6524" w:rsidRPr="008B6524" w:rsidRDefault="008B6524" w:rsidP="00877E8E">
      <w:pPr>
        <w:jc w:val="both"/>
        <w:rPr>
          <w:rFonts w:ascii="Century Gothic" w:hAnsi="Century Gothic"/>
          <w:b/>
          <w:bCs/>
          <w:u w:val="single"/>
        </w:rPr>
      </w:pPr>
      <w:r w:rsidRPr="008B6524">
        <w:rPr>
          <w:rFonts w:ascii="Century Gothic" w:hAnsi="Century Gothic"/>
          <w:b/>
          <w:bCs/>
          <w:u w:val="single"/>
        </w:rPr>
        <w:t>Summary</w:t>
      </w:r>
    </w:p>
    <w:p w14:paraId="275EFB21" w14:textId="6999F6FC"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Principal Adverse Impacts (“PAIs”)</w:t>
      </w:r>
      <w:r w:rsidR="00493742">
        <w:rPr>
          <w:rFonts w:ascii="Century Gothic" w:hAnsi="Century Gothic"/>
          <w:b/>
          <w:bCs/>
        </w:rPr>
        <w:br/>
      </w:r>
      <w:r w:rsidR="00FE6F4A">
        <w:rPr>
          <w:rFonts w:ascii="Century Gothic" w:hAnsi="Century Gothic"/>
        </w:rPr>
        <w:t>The Investment Manager does not consider PAIs</w:t>
      </w:r>
      <w:r w:rsidR="00E85E7A">
        <w:rPr>
          <w:rFonts w:ascii="Century Gothic" w:hAnsi="Century Gothic"/>
        </w:rPr>
        <w:t xml:space="preserve"> as part of its </w:t>
      </w:r>
      <w:r w:rsidR="00F33B35">
        <w:rPr>
          <w:rFonts w:ascii="Century Gothic" w:hAnsi="Century Gothic"/>
        </w:rPr>
        <w:t>investment process, as defined in the SFDR regulation</w:t>
      </w:r>
    </w:p>
    <w:p w14:paraId="601DC5EA" w14:textId="048E4377"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No Sustainable Investment Objective</w:t>
      </w:r>
      <w:r w:rsidR="00F33B35">
        <w:rPr>
          <w:rFonts w:ascii="Century Gothic" w:hAnsi="Century Gothic"/>
          <w:b/>
          <w:bCs/>
        </w:rPr>
        <w:br/>
      </w:r>
      <w:r w:rsidR="00F33B35">
        <w:rPr>
          <w:rFonts w:ascii="Century Gothic" w:hAnsi="Century Gothic"/>
        </w:rPr>
        <w:t xml:space="preserve">The Sub-Fund </w:t>
      </w:r>
      <w:r w:rsidR="00050EC6">
        <w:rPr>
          <w:rFonts w:ascii="Century Gothic" w:hAnsi="Century Gothic"/>
        </w:rPr>
        <w:t>does not have a sustainable investment objective</w:t>
      </w:r>
    </w:p>
    <w:p w14:paraId="750A71F6" w14:textId="77777777" w:rsidR="002F6F58" w:rsidRPr="00B41873" w:rsidRDefault="00357876" w:rsidP="00B41873">
      <w:pPr>
        <w:pStyle w:val="ListParagraph"/>
        <w:numPr>
          <w:ilvl w:val="0"/>
          <w:numId w:val="2"/>
        </w:numPr>
        <w:spacing w:after="0"/>
        <w:rPr>
          <w:rFonts w:ascii="Century Gothic" w:hAnsi="Century Gothic"/>
        </w:rPr>
      </w:pPr>
      <w:r w:rsidRPr="00575F69">
        <w:rPr>
          <w:rFonts w:ascii="Century Gothic" w:hAnsi="Century Gothic"/>
          <w:b/>
          <w:bCs/>
        </w:rPr>
        <w:t>Environmental or Social (“E/S”) Characteristics of the Financial Products</w:t>
      </w:r>
      <w:r w:rsidR="00050EC6" w:rsidRPr="00575F69">
        <w:rPr>
          <w:rFonts w:ascii="Century Gothic" w:hAnsi="Century Gothic"/>
          <w:b/>
          <w:bCs/>
        </w:rPr>
        <w:br/>
      </w:r>
      <w:r w:rsidR="001A5ED5">
        <w:rPr>
          <w:rFonts w:ascii="Century Gothic" w:hAnsi="Century Gothic"/>
        </w:rPr>
        <w:t>The Sub-Fund promotes the fol</w:t>
      </w:r>
      <w:r w:rsidR="002F6F58">
        <w:rPr>
          <w:rFonts w:ascii="Century Gothic" w:hAnsi="Century Gothic"/>
        </w:rPr>
        <w:t>lowing characteristics.</w:t>
      </w:r>
      <w:r w:rsidR="002F6F58">
        <w:rPr>
          <w:rFonts w:ascii="Century Gothic" w:hAnsi="Century Gothic"/>
        </w:rPr>
        <w:br/>
      </w:r>
      <w:r w:rsidR="002F6F58" w:rsidRPr="00B41873">
        <w:rPr>
          <w:rFonts w:ascii="Century Gothic" w:hAnsi="Century Gothic"/>
        </w:rPr>
        <w:t>• Carbon emissions (CO2 tonnes per million dollars of revenue)</w:t>
      </w:r>
    </w:p>
    <w:p w14:paraId="2CC2D0CC" w14:textId="77777777" w:rsidR="002F6F58" w:rsidRPr="00B41873" w:rsidRDefault="002F6F58" w:rsidP="00B41873">
      <w:pPr>
        <w:spacing w:after="0"/>
        <w:ind w:left="709"/>
        <w:rPr>
          <w:rFonts w:ascii="Century Gothic" w:hAnsi="Century Gothic"/>
        </w:rPr>
      </w:pPr>
      <w:r w:rsidRPr="00B41873">
        <w:rPr>
          <w:rFonts w:ascii="Century Gothic" w:hAnsi="Century Gothic"/>
        </w:rPr>
        <w:t>• Water pollution</w:t>
      </w:r>
    </w:p>
    <w:p w14:paraId="48D0E146" w14:textId="77777777" w:rsidR="002F6F58" w:rsidRPr="00B41873" w:rsidRDefault="002F6F58" w:rsidP="00B41873">
      <w:pPr>
        <w:spacing w:after="0"/>
        <w:ind w:left="709"/>
        <w:rPr>
          <w:rFonts w:ascii="Century Gothic" w:hAnsi="Century Gothic"/>
        </w:rPr>
      </w:pPr>
      <w:r w:rsidRPr="00B41873">
        <w:rPr>
          <w:rFonts w:ascii="Century Gothic" w:hAnsi="Century Gothic"/>
        </w:rPr>
        <w:t>• Harm to biodiversity</w:t>
      </w:r>
    </w:p>
    <w:p w14:paraId="105F18FE" w14:textId="77777777" w:rsidR="002F6F58" w:rsidRPr="00B41873" w:rsidRDefault="002F6F58" w:rsidP="00B41873">
      <w:pPr>
        <w:spacing w:after="0"/>
        <w:ind w:left="709"/>
        <w:rPr>
          <w:rFonts w:ascii="Century Gothic" w:hAnsi="Century Gothic"/>
        </w:rPr>
      </w:pPr>
      <w:r w:rsidRPr="00B41873">
        <w:rPr>
          <w:rFonts w:ascii="Century Gothic" w:hAnsi="Century Gothic"/>
        </w:rPr>
        <w:t>• Poor waste management practices</w:t>
      </w:r>
    </w:p>
    <w:p w14:paraId="308545B9" w14:textId="77777777" w:rsidR="002F6F58" w:rsidRPr="00B41873" w:rsidRDefault="002F6F58" w:rsidP="00B41873">
      <w:pPr>
        <w:spacing w:after="0"/>
        <w:ind w:left="709"/>
        <w:rPr>
          <w:rFonts w:ascii="Century Gothic" w:hAnsi="Century Gothic"/>
        </w:rPr>
      </w:pPr>
      <w:r w:rsidRPr="00B41873">
        <w:rPr>
          <w:rFonts w:ascii="Century Gothic" w:hAnsi="Century Gothic"/>
        </w:rPr>
        <w:t>• Human rights</w:t>
      </w:r>
    </w:p>
    <w:p w14:paraId="03D09E5B" w14:textId="77777777" w:rsidR="002F6F58" w:rsidRPr="00B41873" w:rsidRDefault="002F6F58" w:rsidP="00B41873">
      <w:pPr>
        <w:spacing w:after="0"/>
        <w:ind w:left="709"/>
        <w:rPr>
          <w:rFonts w:ascii="Century Gothic" w:hAnsi="Century Gothic"/>
        </w:rPr>
      </w:pPr>
      <w:r w:rsidRPr="00B41873">
        <w:rPr>
          <w:rFonts w:ascii="Century Gothic" w:hAnsi="Century Gothic"/>
        </w:rPr>
        <w:t>• Human trafficking</w:t>
      </w:r>
    </w:p>
    <w:p w14:paraId="7557BBDB" w14:textId="77777777" w:rsidR="002F6F58" w:rsidRPr="00B41873" w:rsidRDefault="002F6F58" w:rsidP="00B41873">
      <w:pPr>
        <w:spacing w:after="0"/>
        <w:ind w:left="709"/>
        <w:rPr>
          <w:rFonts w:ascii="Century Gothic" w:hAnsi="Century Gothic"/>
        </w:rPr>
      </w:pPr>
      <w:r w:rsidRPr="00B41873">
        <w:rPr>
          <w:rFonts w:ascii="Century Gothic" w:hAnsi="Century Gothic"/>
        </w:rPr>
        <w:t>• Modern slavery / forced labour</w:t>
      </w:r>
    </w:p>
    <w:p w14:paraId="41CEC69B" w14:textId="77777777" w:rsidR="002F6F58" w:rsidRPr="00B41873" w:rsidRDefault="002F6F58" w:rsidP="00B41873">
      <w:pPr>
        <w:spacing w:after="0"/>
        <w:ind w:left="709"/>
        <w:rPr>
          <w:rFonts w:ascii="Century Gothic" w:hAnsi="Century Gothic"/>
        </w:rPr>
      </w:pPr>
      <w:r w:rsidRPr="00B41873">
        <w:rPr>
          <w:rFonts w:ascii="Century Gothic" w:hAnsi="Century Gothic"/>
        </w:rPr>
        <w:t>• Breaches of employee rights / labour rights</w:t>
      </w:r>
    </w:p>
    <w:p w14:paraId="34A60080" w14:textId="77777777" w:rsidR="002F6F58" w:rsidRPr="00B41873" w:rsidRDefault="002F6F58" w:rsidP="00B41873">
      <w:pPr>
        <w:spacing w:after="0"/>
        <w:ind w:left="709"/>
        <w:rPr>
          <w:rFonts w:ascii="Century Gothic" w:hAnsi="Century Gothic"/>
        </w:rPr>
      </w:pPr>
      <w:r w:rsidRPr="00B41873">
        <w:rPr>
          <w:rFonts w:ascii="Century Gothic" w:hAnsi="Century Gothic"/>
        </w:rPr>
        <w:t>• Child labour</w:t>
      </w:r>
    </w:p>
    <w:p w14:paraId="5F6E0052" w14:textId="77777777" w:rsidR="002F6F58" w:rsidRPr="00B41873" w:rsidRDefault="002F6F58" w:rsidP="00B41873">
      <w:pPr>
        <w:spacing w:after="0"/>
        <w:ind w:left="709"/>
        <w:rPr>
          <w:rFonts w:ascii="Century Gothic" w:hAnsi="Century Gothic"/>
        </w:rPr>
      </w:pPr>
      <w:r w:rsidRPr="00B41873">
        <w:rPr>
          <w:rFonts w:ascii="Century Gothic" w:hAnsi="Century Gothic"/>
        </w:rPr>
        <w:t>• Discrimination</w:t>
      </w:r>
    </w:p>
    <w:p w14:paraId="1E14B8C2" w14:textId="1A0F311E" w:rsidR="00357876" w:rsidRPr="00B41873" w:rsidRDefault="002F6F58" w:rsidP="00B41873">
      <w:pPr>
        <w:spacing w:after="0"/>
        <w:ind w:left="709"/>
        <w:rPr>
          <w:rFonts w:ascii="Century Gothic" w:hAnsi="Century Gothic"/>
        </w:rPr>
      </w:pPr>
      <w:r w:rsidRPr="00B41873">
        <w:rPr>
          <w:rFonts w:ascii="Century Gothic" w:hAnsi="Century Gothic"/>
        </w:rPr>
        <w:t>• Restrictions on or abuse of the rights of consumers</w:t>
      </w:r>
    </w:p>
    <w:p w14:paraId="505066D1" w14:textId="5764CC3E"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Investment Strategy</w:t>
      </w:r>
      <w:r w:rsidR="00B41873">
        <w:rPr>
          <w:rFonts w:ascii="Century Gothic" w:hAnsi="Century Gothic"/>
          <w:b/>
          <w:bCs/>
        </w:rPr>
        <w:br/>
      </w:r>
      <w:r w:rsidR="00B41873" w:rsidRPr="00B41873">
        <w:rPr>
          <w:rFonts w:ascii="Century Gothic" w:hAnsi="Century Gothic"/>
        </w:rPr>
        <w:t>The Sub-Fund is an actively managed, concentrated strategy which gains exposure to equity and equity-related securities which are listed or traded in developed markets worldwide</w:t>
      </w:r>
      <w:r w:rsidR="00B41873">
        <w:rPr>
          <w:rFonts w:ascii="Century Gothic" w:hAnsi="Century Gothic"/>
        </w:rPr>
        <w:t>.</w:t>
      </w:r>
    </w:p>
    <w:p w14:paraId="0BFD71C7" w14:textId="544B6439"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Proportion of Investments used to meet E/S Characteristics</w:t>
      </w:r>
      <w:r w:rsidR="00162D04">
        <w:rPr>
          <w:rFonts w:ascii="Century Gothic" w:hAnsi="Century Gothic"/>
          <w:b/>
          <w:bCs/>
        </w:rPr>
        <w:br/>
      </w:r>
      <w:r w:rsidR="00162D04" w:rsidRPr="00162D04">
        <w:rPr>
          <w:rFonts w:ascii="Century Gothic" w:hAnsi="Century Gothic"/>
        </w:rPr>
        <w:t>The Sub-Fund hold</w:t>
      </w:r>
      <w:r w:rsidR="00162D04">
        <w:rPr>
          <w:rFonts w:ascii="Century Gothic" w:hAnsi="Century Gothic"/>
        </w:rPr>
        <w:t>s</w:t>
      </w:r>
      <w:r w:rsidR="00162D04" w:rsidRPr="00162D04">
        <w:rPr>
          <w:rFonts w:ascii="Century Gothic" w:hAnsi="Century Gothic"/>
        </w:rPr>
        <w:t xml:space="preserve"> a minimum of 50% investments that are aligned with </w:t>
      </w:r>
      <w:r w:rsidR="00162D04">
        <w:rPr>
          <w:rFonts w:ascii="Century Gothic" w:hAnsi="Century Gothic"/>
        </w:rPr>
        <w:t>its</w:t>
      </w:r>
      <w:r w:rsidR="00162D04" w:rsidRPr="00162D04">
        <w:rPr>
          <w:rFonts w:ascii="Century Gothic" w:hAnsi="Century Gothic"/>
        </w:rPr>
        <w:t xml:space="preserve"> environmental or social characteristics</w:t>
      </w:r>
    </w:p>
    <w:p w14:paraId="1E07A9C7" w14:textId="4D2E5741"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Monitoring of E/S Characteristics</w:t>
      </w:r>
      <w:r w:rsidR="00162D04">
        <w:rPr>
          <w:rFonts w:ascii="Century Gothic" w:hAnsi="Century Gothic"/>
          <w:b/>
          <w:bCs/>
        </w:rPr>
        <w:br/>
      </w:r>
      <w:r w:rsidR="00773895">
        <w:rPr>
          <w:rFonts w:ascii="Century Gothic" w:hAnsi="Century Gothic"/>
        </w:rPr>
        <w:t>The Investment Manager</w:t>
      </w:r>
      <w:r w:rsidR="00EF6671">
        <w:rPr>
          <w:rFonts w:ascii="Century Gothic" w:hAnsi="Century Gothic"/>
        </w:rPr>
        <w:t xml:space="preserve"> monitors the E/S Characteristics on an ongoing basis using the</w:t>
      </w:r>
      <w:r w:rsidR="00782C3B">
        <w:rPr>
          <w:rFonts w:ascii="Century Gothic" w:hAnsi="Century Gothic"/>
        </w:rPr>
        <w:t xml:space="preserve"> external and internal</w:t>
      </w:r>
      <w:r w:rsidR="00EF6671">
        <w:rPr>
          <w:rFonts w:ascii="Century Gothic" w:hAnsi="Century Gothic"/>
        </w:rPr>
        <w:t xml:space="preserve"> Data Sources </w:t>
      </w:r>
      <w:r w:rsidR="00782C3B">
        <w:rPr>
          <w:rFonts w:ascii="Century Gothic" w:hAnsi="Century Gothic"/>
        </w:rPr>
        <w:t>and systems.</w:t>
      </w:r>
    </w:p>
    <w:p w14:paraId="1C965411" w14:textId="12445218"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Methodologies</w:t>
      </w:r>
      <w:r w:rsidR="00782C3B">
        <w:rPr>
          <w:rFonts w:ascii="Century Gothic" w:hAnsi="Century Gothic"/>
          <w:b/>
          <w:bCs/>
        </w:rPr>
        <w:br/>
      </w:r>
      <w:r w:rsidR="00EB0C5A">
        <w:rPr>
          <w:rFonts w:ascii="Century Gothic" w:hAnsi="Century Gothic"/>
        </w:rPr>
        <w:t>The Investment Manager</w:t>
      </w:r>
      <w:r w:rsidR="00402430">
        <w:rPr>
          <w:rFonts w:ascii="Century Gothic" w:hAnsi="Century Gothic"/>
        </w:rPr>
        <w:t xml:space="preserve"> uses a total of </w:t>
      </w:r>
      <w:r w:rsidR="00B12253">
        <w:rPr>
          <w:rFonts w:ascii="Century Gothic" w:hAnsi="Century Gothic"/>
        </w:rPr>
        <w:t xml:space="preserve">four Environmental </w:t>
      </w:r>
      <w:r w:rsidR="00F47DBB">
        <w:rPr>
          <w:rFonts w:ascii="Century Gothic" w:hAnsi="Century Gothic"/>
        </w:rPr>
        <w:t>criteria</w:t>
      </w:r>
      <w:r w:rsidR="00B12253">
        <w:rPr>
          <w:rFonts w:ascii="Century Gothic" w:hAnsi="Century Gothic"/>
        </w:rPr>
        <w:t xml:space="preserve"> and one Social </w:t>
      </w:r>
      <w:r w:rsidR="00F47DBB">
        <w:rPr>
          <w:rFonts w:ascii="Century Gothic" w:hAnsi="Century Gothic"/>
        </w:rPr>
        <w:t>criteria</w:t>
      </w:r>
      <w:r w:rsidR="00B12253">
        <w:rPr>
          <w:rFonts w:ascii="Century Gothic" w:hAnsi="Century Gothic"/>
        </w:rPr>
        <w:t xml:space="preserve"> to </w:t>
      </w:r>
      <w:r w:rsidR="00AD7A37">
        <w:rPr>
          <w:rFonts w:ascii="Century Gothic" w:hAnsi="Century Gothic"/>
        </w:rPr>
        <w:t xml:space="preserve"> </w:t>
      </w:r>
      <w:r w:rsidR="00F47DBB">
        <w:rPr>
          <w:rFonts w:ascii="Century Gothic" w:hAnsi="Century Gothic"/>
        </w:rPr>
        <w:t xml:space="preserve">measure the environmental characteristics </w:t>
      </w:r>
      <w:r w:rsidR="0025279B">
        <w:rPr>
          <w:rFonts w:ascii="Century Gothic" w:hAnsi="Century Gothic"/>
        </w:rPr>
        <w:t>of the Sub-Fund</w:t>
      </w:r>
    </w:p>
    <w:p w14:paraId="2F86C1F5" w14:textId="26F04095"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Data Sources and Processing</w:t>
      </w:r>
      <w:r w:rsidR="0025279B">
        <w:rPr>
          <w:rFonts w:ascii="Century Gothic" w:hAnsi="Century Gothic"/>
          <w:b/>
          <w:bCs/>
        </w:rPr>
        <w:br/>
      </w:r>
      <w:r w:rsidR="0025279B">
        <w:rPr>
          <w:rFonts w:ascii="Century Gothic" w:hAnsi="Century Gothic"/>
        </w:rPr>
        <w:t>The Investment Manager uses a combination of internal and external</w:t>
      </w:r>
      <w:r w:rsidR="0056689E">
        <w:rPr>
          <w:rFonts w:ascii="Century Gothic" w:hAnsi="Century Gothic"/>
        </w:rPr>
        <w:t xml:space="preserve"> data/research</w:t>
      </w:r>
      <w:r w:rsidR="00303268">
        <w:rPr>
          <w:rFonts w:ascii="Century Gothic" w:hAnsi="Century Gothic"/>
        </w:rPr>
        <w:t xml:space="preserve"> to assess the Sustainability Risks of </w:t>
      </w:r>
      <w:r w:rsidR="000B60DA">
        <w:rPr>
          <w:rFonts w:ascii="Century Gothic" w:hAnsi="Century Gothic"/>
        </w:rPr>
        <w:t>prospective/existing investments.</w:t>
      </w:r>
    </w:p>
    <w:p w14:paraId="5A3045EA" w14:textId="237D2B39"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lastRenderedPageBreak/>
        <w:t>Limitations to Methodologies and Data</w:t>
      </w:r>
      <w:r w:rsidR="000B60DA">
        <w:rPr>
          <w:rFonts w:ascii="Century Gothic" w:hAnsi="Century Gothic"/>
          <w:b/>
          <w:bCs/>
        </w:rPr>
        <w:br/>
      </w:r>
      <w:r w:rsidR="00336637" w:rsidRPr="00336637">
        <w:rPr>
          <w:rFonts w:ascii="Century Gothic" w:hAnsi="Century Gothic"/>
        </w:rPr>
        <w:t>While the Investment Manager presumes that the data it utilises from third-parties and develops using proprietary research is reliable and comprehensive, it is possible that such data will be impacted by inaccuracies or limitations that may not be evident to the Investment Manager</w:t>
      </w:r>
    </w:p>
    <w:p w14:paraId="07A3F470" w14:textId="5233281C" w:rsidR="00357876" w:rsidRPr="008C570E" w:rsidRDefault="00357876" w:rsidP="00493742">
      <w:pPr>
        <w:pStyle w:val="ListParagraph"/>
        <w:numPr>
          <w:ilvl w:val="0"/>
          <w:numId w:val="2"/>
        </w:numPr>
        <w:rPr>
          <w:rFonts w:ascii="Century Gothic" w:hAnsi="Century Gothic"/>
        </w:rPr>
      </w:pPr>
      <w:r w:rsidRPr="00357876">
        <w:rPr>
          <w:rFonts w:ascii="Century Gothic" w:hAnsi="Century Gothic"/>
          <w:b/>
          <w:bCs/>
        </w:rPr>
        <w:t>Due Diligence</w:t>
      </w:r>
      <w:r w:rsidR="00336637">
        <w:rPr>
          <w:rFonts w:ascii="Century Gothic" w:hAnsi="Century Gothic"/>
          <w:b/>
          <w:bCs/>
        </w:rPr>
        <w:br/>
      </w:r>
      <w:r w:rsidR="008C570E" w:rsidRPr="008C570E">
        <w:rPr>
          <w:rFonts w:ascii="Century Gothic" w:hAnsi="Century Gothic"/>
        </w:rPr>
        <w:t xml:space="preserve">The Investment Manager’s investment personnel are responsible for conducting ongoing due diligence on </w:t>
      </w:r>
      <w:r w:rsidR="00B74783">
        <w:rPr>
          <w:rFonts w:ascii="Century Gothic" w:hAnsi="Century Gothic"/>
        </w:rPr>
        <w:t xml:space="preserve">both prospective securities, and </w:t>
      </w:r>
      <w:r w:rsidR="008C570E" w:rsidRPr="008C570E">
        <w:rPr>
          <w:rFonts w:ascii="Century Gothic" w:hAnsi="Century Gothic"/>
        </w:rPr>
        <w:t xml:space="preserve">securities </w:t>
      </w:r>
      <w:r w:rsidR="00B74783">
        <w:rPr>
          <w:rFonts w:ascii="Century Gothic" w:hAnsi="Century Gothic"/>
        </w:rPr>
        <w:t xml:space="preserve">already </w:t>
      </w:r>
      <w:r w:rsidR="008C570E" w:rsidRPr="008C570E">
        <w:rPr>
          <w:rFonts w:ascii="Century Gothic" w:hAnsi="Century Gothic"/>
        </w:rPr>
        <w:t>held in the Sub-Fund</w:t>
      </w:r>
      <w:r w:rsidR="00575F69">
        <w:rPr>
          <w:rFonts w:ascii="Century Gothic" w:hAnsi="Century Gothic"/>
        </w:rPr>
        <w:t>.  A formal detailed analysis is conducted twice a month.</w:t>
      </w:r>
    </w:p>
    <w:p w14:paraId="6AF6099A" w14:textId="6C3E9B08" w:rsidR="00357876" w:rsidRPr="00357876" w:rsidRDefault="00357876" w:rsidP="00493742">
      <w:pPr>
        <w:pStyle w:val="ListParagraph"/>
        <w:numPr>
          <w:ilvl w:val="0"/>
          <w:numId w:val="2"/>
        </w:numPr>
        <w:rPr>
          <w:rFonts w:ascii="Century Gothic" w:hAnsi="Century Gothic"/>
          <w:b/>
          <w:bCs/>
        </w:rPr>
      </w:pPr>
      <w:r w:rsidRPr="00357876">
        <w:rPr>
          <w:rFonts w:ascii="Century Gothic" w:hAnsi="Century Gothic"/>
          <w:b/>
          <w:bCs/>
        </w:rPr>
        <w:t>Engagement Policies</w:t>
      </w:r>
      <w:r w:rsidR="00245413">
        <w:rPr>
          <w:rFonts w:ascii="Century Gothic" w:hAnsi="Century Gothic"/>
          <w:b/>
          <w:bCs/>
        </w:rPr>
        <w:br/>
      </w:r>
      <w:r w:rsidR="00245413">
        <w:rPr>
          <w:rFonts w:ascii="Century Gothic" w:hAnsi="Century Gothic"/>
        </w:rPr>
        <w:t xml:space="preserve">The Investment Manager does not typically directly engage </w:t>
      </w:r>
      <w:r w:rsidR="000156F2">
        <w:rPr>
          <w:rFonts w:ascii="Century Gothic" w:hAnsi="Century Gothic"/>
        </w:rPr>
        <w:t>with issuers but does take an active approach to proxy voting, as detailed in its Proxy Voting Policy</w:t>
      </w:r>
    </w:p>
    <w:p w14:paraId="262EF8A0" w14:textId="63BC4F73" w:rsidR="00357876" w:rsidRPr="002605FE" w:rsidRDefault="00357876" w:rsidP="00493742">
      <w:pPr>
        <w:pStyle w:val="ListParagraph"/>
        <w:numPr>
          <w:ilvl w:val="0"/>
          <w:numId w:val="2"/>
        </w:numPr>
        <w:rPr>
          <w:rFonts w:ascii="Century Gothic" w:hAnsi="Century Gothic"/>
        </w:rPr>
      </w:pPr>
      <w:r w:rsidRPr="00575F69">
        <w:rPr>
          <w:rFonts w:ascii="Century Gothic" w:hAnsi="Century Gothic"/>
          <w:b/>
          <w:bCs/>
        </w:rPr>
        <w:t>Designated Reference Benchmark</w:t>
      </w:r>
      <w:r w:rsidR="002605FE" w:rsidRPr="00575F69">
        <w:rPr>
          <w:rFonts w:ascii="Century Gothic" w:hAnsi="Century Gothic"/>
          <w:b/>
          <w:bCs/>
        </w:rPr>
        <w:br/>
      </w:r>
      <w:r w:rsidR="002605FE" w:rsidRPr="002605FE">
        <w:rPr>
          <w:rFonts w:ascii="Century Gothic" w:hAnsi="Century Gothic"/>
        </w:rPr>
        <w:t>The Sub-Fund does not designate an index as a reference benchmark aligned with the environmental or social characteristics it may promote</w:t>
      </w:r>
    </w:p>
    <w:p w14:paraId="70094302" w14:textId="04E564B6" w:rsidR="00357876" w:rsidRDefault="00357876">
      <w:pPr>
        <w:rPr>
          <w:rFonts w:ascii="Century Gothic" w:hAnsi="Century Gothic"/>
        </w:rPr>
      </w:pPr>
      <w:r>
        <w:rPr>
          <w:rFonts w:ascii="Century Gothic" w:hAnsi="Century Gothic"/>
        </w:rPr>
        <w:br w:type="page"/>
      </w:r>
    </w:p>
    <w:p w14:paraId="31FC2B0C" w14:textId="6149B781" w:rsidR="0013545E" w:rsidRPr="00357876" w:rsidRDefault="0013545E" w:rsidP="00357876">
      <w:pPr>
        <w:pStyle w:val="ListParagraph"/>
        <w:numPr>
          <w:ilvl w:val="0"/>
          <w:numId w:val="3"/>
        </w:numPr>
        <w:jc w:val="both"/>
        <w:rPr>
          <w:rFonts w:ascii="Century Gothic" w:hAnsi="Century Gothic"/>
          <w:b/>
          <w:bCs/>
          <w:u w:val="single"/>
        </w:rPr>
      </w:pPr>
      <w:bookmarkStart w:id="0" w:name="_Hlk122621967"/>
      <w:r w:rsidRPr="00357876">
        <w:rPr>
          <w:rFonts w:ascii="Century Gothic" w:hAnsi="Century Gothic"/>
          <w:b/>
          <w:bCs/>
          <w:u w:val="single"/>
        </w:rPr>
        <w:lastRenderedPageBreak/>
        <w:t>Principal Adverse Impacts (“PAIs”)</w:t>
      </w:r>
    </w:p>
    <w:p w14:paraId="19ED3C8A" w14:textId="34FE59F6" w:rsidR="0013545E" w:rsidRPr="007554D7" w:rsidRDefault="007554D7" w:rsidP="00877E8E">
      <w:pPr>
        <w:jc w:val="both"/>
        <w:rPr>
          <w:rFonts w:ascii="Century Gothic" w:hAnsi="Century Gothic"/>
        </w:rPr>
      </w:pPr>
      <w:r w:rsidRPr="007554D7">
        <w:rPr>
          <w:rFonts w:ascii="Century Gothic" w:hAnsi="Century Gothic"/>
        </w:rPr>
        <w:t xml:space="preserve">While the </w:t>
      </w:r>
      <w:r>
        <w:rPr>
          <w:rFonts w:ascii="Century Gothic" w:hAnsi="Century Gothic"/>
        </w:rPr>
        <w:t>Investment Manager</w:t>
      </w:r>
      <w:r w:rsidRPr="007554D7">
        <w:rPr>
          <w:rFonts w:ascii="Century Gothic" w:hAnsi="Century Gothic"/>
        </w:rPr>
        <w:t xml:space="preserve"> considers material sustainability factors in its investment decisions and aims to collect relevant data given the size and sectors of the company it invests in, at the release of this statement the </w:t>
      </w:r>
      <w:r>
        <w:rPr>
          <w:rFonts w:ascii="Century Gothic" w:hAnsi="Century Gothic"/>
        </w:rPr>
        <w:t>Investment Manager</w:t>
      </w:r>
      <w:r w:rsidRPr="007554D7">
        <w:rPr>
          <w:rFonts w:ascii="Century Gothic" w:hAnsi="Century Gothic"/>
        </w:rPr>
        <w:t xml:space="preserve"> does not consider </w:t>
      </w:r>
      <w:r>
        <w:rPr>
          <w:rFonts w:ascii="Century Gothic" w:hAnsi="Century Gothic"/>
        </w:rPr>
        <w:t>PAIs</w:t>
      </w:r>
      <w:r w:rsidRPr="007554D7">
        <w:rPr>
          <w:rFonts w:ascii="Century Gothic" w:hAnsi="Century Gothic"/>
        </w:rPr>
        <w:t xml:space="preserve"> as defined by the SFDR regulation. With the adoption of the Regulatory Technical Standard, </w:t>
      </w:r>
      <w:r w:rsidR="00077A90">
        <w:rPr>
          <w:rFonts w:ascii="Century Gothic" w:hAnsi="Century Gothic"/>
        </w:rPr>
        <w:t>it r</w:t>
      </w:r>
      <w:r w:rsidRPr="007554D7">
        <w:rPr>
          <w:rFonts w:ascii="Century Gothic" w:hAnsi="Century Gothic"/>
        </w:rPr>
        <w:t xml:space="preserve">ecognises that it might not currently be able to consider and report all applicable PAI indicators, with a challenge at present being the sourcing of reliable information directly from </w:t>
      </w:r>
      <w:r w:rsidR="00D50358">
        <w:rPr>
          <w:rFonts w:ascii="Century Gothic" w:hAnsi="Century Gothic"/>
        </w:rPr>
        <w:t>the Sub-Fund’s</w:t>
      </w:r>
      <w:r w:rsidRPr="007554D7">
        <w:rPr>
          <w:rFonts w:ascii="Century Gothic" w:hAnsi="Century Gothic"/>
        </w:rPr>
        <w:t xml:space="preserve"> investees</w:t>
      </w:r>
      <w:r w:rsidR="00D50358">
        <w:rPr>
          <w:rFonts w:ascii="Century Gothic" w:hAnsi="Century Gothic"/>
        </w:rPr>
        <w:t>.</w:t>
      </w:r>
    </w:p>
    <w:p w14:paraId="5156ABDE" w14:textId="698BC472" w:rsidR="008B6524" w:rsidRPr="00357876" w:rsidRDefault="008B6524" w:rsidP="00357876">
      <w:pPr>
        <w:pStyle w:val="ListParagraph"/>
        <w:numPr>
          <w:ilvl w:val="0"/>
          <w:numId w:val="3"/>
        </w:numPr>
        <w:jc w:val="both"/>
        <w:rPr>
          <w:rFonts w:ascii="Century Gothic" w:hAnsi="Century Gothic"/>
          <w:b/>
          <w:bCs/>
          <w:u w:val="single"/>
        </w:rPr>
      </w:pPr>
      <w:r w:rsidRPr="00357876">
        <w:rPr>
          <w:rFonts w:ascii="Century Gothic" w:hAnsi="Century Gothic"/>
          <w:b/>
          <w:bCs/>
          <w:u w:val="single"/>
        </w:rPr>
        <w:t>No Sustainable Investment Objective</w:t>
      </w:r>
    </w:p>
    <w:p w14:paraId="49527334" w14:textId="3F0E27E5" w:rsidR="008B6524" w:rsidRDefault="008B6524" w:rsidP="00877E8E">
      <w:pPr>
        <w:jc w:val="both"/>
        <w:rPr>
          <w:rFonts w:ascii="Century Gothic" w:hAnsi="Century Gothic"/>
        </w:rPr>
      </w:pPr>
      <w:r>
        <w:rPr>
          <w:rFonts w:ascii="Century Gothic" w:hAnsi="Century Gothic"/>
        </w:rPr>
        <w:t xml:space="preserve">The </w:t>
      </w:r>
      <w:r w:rsidR="00830431">
        <w:rPr>
          <w:rFonts w:ascii="Century Gothic" w:hAnsi="Century Gothic"/>
        </w:rPr>
        <w:t>Sub-</w:t>
      </w:r>
      <w:r w:rsidR="0059521B">
        <w:rPr>
          <w:rFonts w:ascii="Century Gothic" w:hAnsi="Century Gothic"/>
        </w:rPr>
        <w:t>Fund</w:t>
      </w:r>
      <w:r>
        <w:rPr>
          <w:rFonts w:ascii="Century Gothic" w:hAnsi="Century Gothic"/>
        </w:rPr>
        <w:t xml:space="preserve"> promotes Environmental and Social characteristics as part of its investment process, but does not have as its objective, sustainable investment.</w:t>
      </w:r>
    </w:p>
    <w:p w14:paraId="2BDA4697" w14:textId="77777777" w:rsidR="008B6524" w:rsidRDefault="008B6524" w:rsidP="00877E8E">
      <w:pPr>
        <w:jc w:val="both"/>
        <w:rPr>
          <w:rFonts w:ascii="Century Gothic" w:hAnsi="Century Gothic"/>
        </w:rPr>
      </w:pPr>
    </w:p>
    <w:p w14:paraId="434615A3" w14:textId="1DA4DD8D"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t>Environmental or Social (“E/S”) Characteristics of the Financial Products</w:t>
      </w:r>
    </w:p>
    <w:p w14:paraId="04399FB0" w14:textId="77777777" w:rsidR="005B003E" w:rsidRPr="005B003E" w:rsidRDefault="005B003E" w:rsidP="005B003E">
      <w:pPr>
        <w:jc w:val="both"/>
        <w:rPr>
          <w:rFonts w:ascii="Century Gothic" w:hAnsi="Century Gothic"/>
        </w:rPr>
      </w:pPr>
      <w:r w:rsidRPr="005B003E">
        <w:rPr>
          <w:rFonts w:ascii="Century Gothic" w:hAnsi="Century Gothic"/>
        </w:rPr>
        <w:t>Among other characteristics, the Sub-Fund promotes environmental and social characteristics.  The environmental and social characteristics promoted by the Sub-Fund consist of investing in companies that may exhibit positive statistics in the following areas:</w:t>
      </w:r>
    </w:p>
    <w:p w14:paraId="42768A08" w14:textId="77777777" w:rsidR="005B003E" w:rsidRPr="005B003E" w:rsidRDefault="005B003E" w:rsidP="001B6EBF">
      <w:pPr>
        <w:ind w:left="720"/>
        <w:jc w:val="both"/>
        <w:rPr>
          <w:rFonts w:ascii="Century Gothic" w:hAnsi="Century Gothic"/>
          <w:b/>
          <w:bCs/>
        </w:rPr>
      </w:pPr>
      <w:r w:rsidRPr="005B003E">
        <w:rPr>
          <w:rFonts w:ascii="Century Gothic" w:hAnsi="Century Gothic"/>
          <w:b/>
          <w:bCs/>
        </w:rPr>
        <w:t>Environmental characteristics:</w:t>
      </w:r>
    </w:p>
    <w:p w14:paraId="589A3736" w14:textId="77777777" w:rsidR="005B003E" w:rsidRPr="005B003E" w:rsidRDefault="005B003E" w:rsidP="001B6EBF">
      <w:pPr>
        <w:spacing w:after="0" w:line="240" w:lineRule="auto"/>
        <w:ind w:left="720"/>
        <w:jc w:val="both"/>
        <w:rPr>
          <w:rFonts w:ascii="Century Gothic" w:hAnsi="Century Gothic"/>
        </w:rPr>
      </w:pPr>
      <w:r w:rsidRPr="005B003E">
        <w:rPr>
          <w:rFonts w:ascii="Century Gothic" w:hAnsi="Century Gothic"/>
        </w:rPr>
        <w:t>• Carbon emissions (CO2 tonnes per million dollars of revenue)</w:t>
      </w:r>
    </w:p>
    <w:p w14:paraId="2F44F872" w14:textId="77777777" w:rsidR="005B003E" w:rsidRPr="00E91B2E" w:rsidRDefault="005B003E" w:rsidP="001B6EBF">
      <w:pPr>
        <w:spacing w:after="0" w:line="240" w:lineRule="auto"/>
        <w:ind w:left="720"/>
        <w:jc w:val="both"/>
        <w:rPr>
          <w:rFonts w:ascii="Century Gothic" w:hAnsi="Century Gothic"/>
        </w:rPr>
      </w:pPr>
      <w:r w:rsidRPr="00E91B2E">
        <w:rPr>
          <w:rFonts w:ascii="Century Gothic" w:hAnsi="Century Gothic"/>
        </w:rPr>
        <w:t>• Water pollution</w:t>
      </w:r>
    </w:p>
    <w:p w14:paraId="03FC017D" w14:textId="77777777" w:rsidR="005B003E" w:rsidRPr="00E91B2E" w:rsidRDefault="005B003E" w:rsidP="001B6EBF">
      <w:pPr>
        <w:spacing w:after="0" w:line="240" w:lineRule="auto"/>
        <w:ind w:left="720"/>
        <w:jc w:val="both"/>
        <w:rPr>
          <w:rFonts w:ascii="Century Gothic" w:hAnsi="Century Gothic"/>
        </w:rPr>
      </w:pPr>
      <w:r w:rsidRPr="00E91B2E">
        <w:rPr>
          <w:rFonts w:ascii="Century Gothic" w:hAnsi="Century Gothic"/>
        </w:rPr>
        <w:t>• Harm to biodiversity</w:t>
      </w:r>
    </w:p>
    <w:p w14:paraId="75D1C43E" w14:textId="77777777" w:rsidR="005B003E" w:rsidRPr="005B003E" w:rsidRDefault="005B003E" w:rsidP="001B6EBF">
      <w:pPr>
        <w:spacing w:after="0" w:line="240" w:lineRule="auto"/>
        <w:ind w:left="720"/>
        <w:jc w:val="both"/>
        <w:rPr>
          <w:rFonts w:ascii="Century Gothic" w:hAnsi="Century Gothic"/>
        </w:rPr>
      </w:pPr>
      <w:r w:rsidRPr="005B003E">
        <w:rPr>
          <w:rFonts w:ascii="Century Gothic" w:hAnsi="Century Gothic"/>
        </w:rPr>
        <w:t>• Poor waste management practices</w:t>
      </w:r>
    </w:p>
    <w:p w14:paraId="0B626255" w14:textId="77777777" w:rsidR="005B003E" w:rsidRPr="005B003E" w:rsidRDefault="005B003E" w:rsidP="005B003E">
      <w:pPr>
        <w:jc w:val="both"/>
        <w:rPr>
          <w:rFonts w:ascii="Century Gothic" w:hAnsi="Century Gothic"/>
        </w:rPr>
      </w:pPr>
    </w:p>
    <w:p w14:paraId="58630841" w14:textId="77777777" w:rsidR="005B003E" w:rsidRPr="005B003E" w:rsidRDefault="005B003E" w:rsidP="001B6EBF">
      <w:pPr>
        <w:ind w:left="720"/>
        <w:jc w:val="both"/>
        <w:rPr>
          <w:rFonts w:ascii="Century Gothic" w:hAnsi="Century Gothic"/>
          <w:b/>
          <w:bCs/>
        </w:rPr>
      </w:pPr>
      <w:r w:rsidRPr="005B003E">
        <w:rPr>
          <w:rFonts w:ascii="Century Gothic" w:hAnsi="Century Gothic"/>
          <w:b/>
          <w:bCs/>
        </w:rPr>
        <w:t>Social characteristics:</w:t>
      </w:r>
    </w:p>
    <w:p w14:paraId="6A409A59" w14:textId="77777777" w:rsidR="005B003E" w:rsidRPr="005B003E" w:rsidRDefault="005B003E" w:rsidP="001B6EBF">
      <w:pPr>
        <w:spacing w:after="0"/>
        <w:ind w:left="720"/>
        <w:jc w:val="both"/>
        <w:rPr>
          <w:rFonts w:ascii="Century Gothic" w:hAnsi="Century Gothic"/>
        </w:rPr>
      </w:pPr>
      <w:r w:rsidRPr="005B003E">
        <w:rPr>
          <w:rFonts w:ascii="Century Gothic" w:hAnsi="Century Gothic"/>
        </w:rPr>
        <w:t>• Human rights</w:t>
      </w:r>
    </w:p>
    <w:p w14:paraId="4B6E4862" w14:textId="77777777" w:rsidR="005B003E" w:rsidRPr="005B003E" w:rsidRDefault="005B003E" w:rsidP="001B6EBF">
      <w:pPr>
        <w:spacing w:after="0"/>
        <w:ind w:left="720"/>
        <w:jc w:val="both"/>
        <w:rPr>
          <w:rFonts w:ascii="Century Gothic" w:hAnsi="Century Gothic"/>
        </w:rPr>
      </w:pPr>
      <w:r w:rsidRPr="005B003E">
        <w:rPr>
          <w:rFonts w:ascii="Century Gothic" w:hAnsi="Century Gothic"/>
        </w:rPr>
        <w:t>• Human trafficking</w:t>
      </w:r>
    </w:p>
    <w:p w14:paraId="60DBC1B3" w14:textId="77777777" w:rsidR="005B003E" w:rsidRPr="005B003E" w:rsidRDefault="005B003E" w:rsidP="001B6EBF">
      <w:pPr>
        <w:spacing w:after="0"/>
        <w:ind w:left="720"/>
        <w:jc w:val="both"/>
        <w:rPr>
          <w:rFonts w:ascii="Century Gothic" w:hAnsi="Century Gothic"/>
        </w:rPr>
      </w:pPr>
      <w:r w:rsidRPr="005B003E">
        <w:rPr>
          <w:rFonts w:ascii="Century Gothic" w:hAnsi="Century Gothic"/>
        </w:rPr>
        <w:t>• Modern slavery / forced labour</w:t>
      </w:r>
    </w:p>
    <w:p w14:paraId="69A2D1A8" w14:textId="77777777" w:rsidR="005B003E" w:rsidRPr="005B003E" w:rsidRDefault="005B003E" w:rsidP="001B6EBF">
      <w:pPr>
        <w:spacing w:after="0"/>
        <w:ind w:left="720"/>
        <w:jc w:val="both"/>
        <w:rPr>
          <w:rFonts w:ascii="Century Gothic" w:hAnsi="Century Gothic"/>
        </w:rPr>
      </w:pPr>
      <w:r w:rsidRPr="005B003E">
        <w:rPr>
          <w:rFonts w:ascii="Century Gothic" w:hAnsi="Century Gothic"/>
        </w:rPr>
        <w:t>• Breaches of employee rights / labour rights</w:t>
      </w:r>
    </w:p>
    <w:p w14:paraId="26520DDF" w14:textId="77777777" w:rsidR="005B003E" w:rsidRPr="005B003E" w:rsidRDefault="005B003E" w:rsidP="001B6EBF">
      <w:pPr>
        <w:spacing w:after="0"/>
        <w:ind w:left="720"/>
        <w:jc w:val="both"/>
        <w:rPr>
          <w:rFonts w:ascii="Century Gothic" w:hAnsi="Century Gothic"/>
        </w:rPr>
      </w:pPr>
      <w:r w:rsidRPr="005B003E">
        <w:rPr>
          <w:rFonts w:ascii="Century Gothic" w:hAnsi="Century Gothic"/>
        </w:rPr>
        <w:t>• Child labour</w:t>
      </w:r>
    </w:p>
    <w:p w14:paraId="34EAF6CF" w14:textId="77777777" w:rsidR="005B003E" w:rsidRPr="005B003E" w:rsidRDefault="005B003E" w:rsidP="001B6EBF">
      <w:pPr>
        <w:spacing w:after="0"/>
        <w:ind w:left="720"/>
        <w:jc w:val="both"/>
        <w:rPr>
          <w:rFonts w:ascii="Century Gothic" w:hAnsi="Century Gothic"/>
        </w:rPr>
      </w:pPr>
      <w:r w:rsidRPr="005B003E">
        <w:rPr>
          <w:rFonts w:ascii="Century Gothic" w:hAnsi="Century Gothic"/>
        </w:rPr>
        <w:t>• Discrimination</w:t>
      </w:r>
    </w:p>
    <w:p w14:paraId="58D41980" w14:textId="350B3206" w:rsidR="008B6524" w:rsidRDefault="005B003E" w:rsidP="001B6EBF">
      <w:pPr>
        <w:spacing w:after="0"/>
        <w:ind w:left="720"/>
        <w:jc w:val="both"/>
        <w:rPr>
          <w:rFonts w:ascii="Century Gothic" w:hAnsi="Century Gothic"/>
        </w:rPr>
      </w:pPr>
      <w:r w:rsidRPr="005B003E">
        <w:rPr>
          <w:rFonts w:ascii="Century Gothic" w:hAnsi="Century Gothic"/>
        </w:rPr>
        <w:t>• Restrictions on or abuse of the rights of consumers</w:t>
      </w:r>
    </w:p>
    <w:p w14:paraId="442AE49B" w14:textId="77777777" w:rsidR="001B6EBF" w:rsidRDefault="001B6EBF" w:rsidP="001B6EBF">
      <w:pPr>
        <w:spacing w:after="0"/>
        <w:jc w:val="both"/>
        <w:rPr>
          <w:rFonts w:ascii="Century Gothic" w:hAnsi="Century Gothic"/>
        </w:rPr>
      </w:pPr>
    </w:p>
    <w:p w14:paraId="3672DB8A" w14:textId="05C4CAAD"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t>Investment Strategy</w:t>
      </w:r>
    </w:p>
    <w:p w14:paraId="699FF030" w14:textId="7A67CF10" w:rsidR="008B6524" w:rsidRDefault="00877E8E" w:rsidP="00877E8E">
      <w:pPr>
        <w:jc w:val="both"/>
        <w:rPr>
          <w:rFonts w:ascii="Century Gothic" w:hAnsi="Century Gothic"/>
        </w:rPr>
      </w:pPr>
      <w:r w:rsidRPr="00877E8E">
        <w:rPr>
          <w:rFonts w:ascii="Century Gothic" w:hAnsi="Century Gothic"/>
        </w:rPr>
        <w:t xml:space="preserve">The </w:t>
      </w:r>
      <w:r w:rsidR="0059521B">
        <w:rPr>
          <w:rFonts w:ascii="Century Gothic" w:hAnsi="Century Gothic"/>
        </w:rPr>
        <w:t>Sub</w:t>
      </w:r>
      <w:r w:rsidRPr="00877E8E">
        <w:rPr>
          <w:rFonts w:ascii="Century Gothic" w:hAnsi="Century Gothic"/>
        </w:rPr>
        <w:t>-Fund is an actively managed, concentrated strategy which gains exposure to equity and equity-related securities which are listed or traded in developed markets worldwide.  The investment manager selects equity securities in the product through a bottom-up fundamental investment process built around a solid risk management framework. The process is founded on three core principles namely, investing in fundamentally sound companies, technical company data analysis and robust stock valuations.  The investment manager uses a proprietary quantitative screening process to select companies.</w:t>
      </w:r>
    </w:p>
    <w:p w14:paraId="028A8D81" w14:textId="27FC13AD"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lastRenderedPageBreak/>
        <w:t>Proportion of Investments used to meet E/S Characteristics</w:t>
      </w:r>
    </w:p>
    <w:p w14:paraId="0C8BA7D9" w14:textId="3469CB11" w:rsidR="008B6524" w:rsidRDefault="00AB7871" w:rsidP="00877E8E">
      <w:pPr>
        <w:jc w:val="both"/>
        <w:rPr>
          <w:rFonts w:ascii="Century Gothic" w:hAnsi="Century Gothic"/>
        </w:rPr>
      </w:pPr>
      <w:r w:rsidRPr="00AB7871">
        <w:rPr>
          <w:rFonts w:ascii="Century Gothic" w:hAnsi="Century Gothic"/>
        </w:rPr>
        <w:t>The Sub-Fund may hold a minimum of 50% investments that are aligned with the environmental or social characteristics promoted by the Sub-Fund. The Sub-Fund does not commit to holding sustainable investments</w:t>
      </w:r>
      <w:r>
        <w:rPr>
          <w:rFonts w:ascii="Century Gothic" w:hAnsi="Century Gothic"/>
        </w:rPr>
        <w:t>.</w:t>
      </w:r>
    </w:p>
    <w:p w14:paraId="31B318F9" w14:textId="70BB547A" w:rsidR="004803A7" w:rsidRPr="008065F2" w:rsidRDefault="004803A7" w:rsidP="00357876">
      <w:pPr>
        <w:pStyle w:val="ListParagraph"/>
        <w:numPr>
          <w:ilvl w:val="0"/>
          <w:numId w:val="3"/>
        </w:numPr>
        <w:jc w:val="both"/>
        <w:rPr>
          <w:rFonts w:ascii="Century Gothic" w:hAnsi="Century Gothic"/>
          <w:b/>
          <w:bCs/>
        </w:rPr>
      </w:pPr>
      <w:r w:rsidRPr="008065F2">
        <w:rPr>
          <w:rFonts w:ascii="Century Gothic" w:hAnsi="Century Gothic"/>
          <w:b/>
          <w:bCs/>
          <w:u w:val="single"/>
        </w:rPr>
        <w:t>Monitoring of E</w:t>
      </w:r>
      <w:r w:rsidR="00923084" w:rsidRPr="008065F2">
        <w:rPr>
          <w:rFonts w:ascii="Century Gothic" w:hAnsi="Century Gothic"/>
          <w:b/>
          <w:bCs/>
          <w:u w:val="single"/>
        </w:rPr>
        <w:t>/S Characteristics</w:t>
      </w:r>
    </w:p>
    <w:p w14:paraId="14ABF4D9" w14:textId="6A2FCE24" w:rsidR="00923084" w:rsidRPr="00923084" w:rsidRDefault="00102D13" w:rsidP="00102D13">
      <w:pPr>
        <w:jc w:val="both"/>
        <w:rPr>
          <w:rFonts w:ascii="Century Gothic" w:hAnsi="Century Gothic"/>
        </w:rPr>
      </w:pPr>
      <w:r w:rsidRPr="00102D13">
        <w:rPr>
          <w:rFonts w:ascii="Century Gothic" w:hAnsi="Century Gothic"/>
        </w:rPr>
        <w:t>The Investment Manager’s investment personnel responsible for the discretionary management of the</w:t>
      </w:r>
      <w:r>
        <w:rPr>
          <w:rFonts w:ascii="Century Gothic" w:hAnsi="Century Gothic"/>
        </w:rPr>
        <w:t xml:space="preserve"> </w:t>
      </w:r>
      <w:r w:rsidRPr="00102D13">
        <w:rPr>
          <w:rFonts w:ascii="Century Gothic" w:hAnsi="Century Gothic"/>
        </w:rPr>
        <w:t>financial product portfolios have the primary responsibility for monitoring the environmental and social</w:t>
      </w:r>
      <w:r w:rsidR="00B32EAD">
        <w:rPr>
          <w:rFonts w:ascii="Century Gothic" w:hAnsi="Century Gothic"/>
        </w:rPr>
        <w:t xml:space="preserve"> </w:t>
      </w:r>
      <w:r w:rsidRPr="00102D13">
        <w:rPr>
          <w:rFonts w:ascii="Century Gothic" w:hAnsi="Century Gothic"/>
        </w:rPr>
        <w:t>characteristics designed to be promoted by the financial products, using the data and potential systems</w:t>
      </w:r>
      <w:r w:rsidR="00B32EAD">
        <w:rPr>
          <w:rFonts w:ascii="Century Gothic" w:hAnsi="Century Gothic"/>
        </w:rPr>
        <w:t xml:space="preserve"> </w:t>
      </w:r>
      <w:r w:rsidRPr="00102D13">
        <w:rPr>
          <w:rFonts w:ascii="Century Gothic" w:hAnsi="Century Gothic"/>
        </w:rPr>
        <w:t>available to those personnel</w:t>
      </w:r>
      <w:r w:rsidR="009D7A04">
        <w:rPr>
          <w:rFonts w:ascii="Century Gothic" w:hAnsi="Century Gothic"/>
        </w:rPr>
        <w:t>.</w:t>
      </w:r>
    </w:p>
    <w:p w14:paraId="3B969897" w14:textId="54AAA61A" w:rsidR="008B6524" w:rsidRPr="00357876" w:rsidRDefault="008B6524" w:rsidP="00357876">
      <w:pPr>
        <w:pStyle w:val="ListParagraph"/>
        <w:numPr>
          <w:ilvl w:val="0"/>
          <w:numId w:val="3"/>
        </w:numPr>
        <w:jc w:val="both"/>
        <w:rPr>
          <w:rFonts w:ascii="Century Gothic" w:hAnsi="Century Gothic"/>
          <w:b/>
          <w:bCs/>
          <w:u w:val="single"/>
        </w:rPr>
      </w:pPr>
      <w:r w:rsidRPr="00357876">
        <w:rPr>
          <w:rFonts w:ascii="Century Gothic" w:hAnsi="Century Gothic"/>
          <w:b/>
          <w:bCs/>
          <w:u w:val="single"/>
        </w:rPr>
        <w:t>Methodologies</w:t>
      </w:r>
    </w:p>
    <w:p w14:paraId="19A06108" w14:textId="3CCACC6C" w:rsidR="006E6998" w:rsidRPr="006E6998" w:rsidRDefault="006E6998" w:rsidP="006E6998">
      <w:pPr>
        <w:jc w:val="both"/>
        <w:rPr>
          <w:rFonts w:ascii="Century Gothic" w:hAnsi="Century Gothic"/>
        </w:rPr>
      </w:pPr>
      <w:r>
        <w:rPr>
          <w:rFonts w:ascii="Century Gothic" w:hAnsi="Century Gothic"/>
        </w:rPr>
        <w:t>T</w:t>
      </w:r>
      <w:r w:rsidRPr="006E6998">
        <w:rPr>
          <w:rFonts w:ascii="Century Gothic" w:hAnsi="Century Gothic"/>
        </w:rPr>
        <w:t xml:space="preserve">he </w:t>
      </w:r>
      <w:r>
        <w:rPr>
          <w:rFonts w:ascii="Century Gothic" w:hAnsi="Century Gothic"/>
        </w:rPr>
        <w:t xml:space="preserve">following </w:t>
      </w:r>
      <w:r w:rsidR="00A711D2">
        <w:rPr>
          <w:rFonts w:ascii="Century Gothic" w:hAnsi="Century Gothic"/>
        </w:rPr>
        <w:t>indicators are</w:t>
      </w:r>
      <w:r w:rsidRPr="006E6998">
        <w:rPr>
          <w:rFonts w:ascii="Century Gothic" w:hAnsi="Century Gothic"/>
        </w:rPr>
        <w:t xml:space="preserve"> used by the Investment Manager to attempt to attain</w:t>
      </w:r>
      <w:r w:rsidR="00A711D2">
        <w:rPr>
          <w:rFonts w:ascii="Century Gothic" w:hAnsi="Century Gothic"/>
        </w:rPr>
        <w:t>/measure</w:t>
      </w:r>
      <w:r w:rsidRPr="006E6998">
        <w:rPr>
          <w:rFonts w:ascii="Century Gothic" w:hAnsi="Century Gothic"/>
        </w:rPr>
        <w:t xml:space="preserve"> the social and</w:t>
      </w:r>
      <w:r w:rsidR="00A711D2">
        <w:rPr>
          <w:rFonts w:ascii="Century Gothic" w:hAnsi="Century Gothic"/>
        </w:rPr>
        <w:t xml:space="preserve"> </w:t>
      </w:r>
      <w:r w:rsidRPr="006E6998">
        <w:rPr>
          <w:rFonts w:ascii="Century Gothic" w:hAnsi="Century Gothic"/>
        </w:rPr>
        <w:t>environmental characteristics promoted by the financial products</w:t>
      </w:r>
    </w:p>
    <w:p w14:paraId="0E9EDCDF" w14:textId="39EFA144" w:rsidR="005167DC" w:rsidRPr="005167DC" w:rsidRDefault="005167DC" w:rsidP="005167DC">
      <w:pPr>
        <w:ind w:left="720"/>
        <w:jc w:val="both"/>
        <w:rPr>
          <w:rFonts w:ascii="Century Gothic" w:hAnsi="Century Gothic"/>
          <w:b/>
          <w:bCs/>
        </w:rPr>
      </w:pPr>
      <w:r w:rsidRPr="005167DC">
        <w:rPr>
          <w:rFonts w:ascii="Century Gothic" w:hAnsi="Century Gothic"/>
          <w:b/>
          <w:bCs/>
        </w:rPr>
        <w:t>Environmental Characteristics:</w:t>
      </w:r>
    </w:p>
    <w:p w14:paraId="7F8C1BDE" w14:textId="367DB8B7" w:rsidR="005167DC" w:rsidRPr="005167DC" w:rsidRDefault="005167DC" w:rsidP="005167DC">
      <w:pPr>
        <w:spacing w:after="0"/>
        <w:ind w:left="720"/>
        <w:jc w:val="both"/>
        <w:rPr>
          <w:rFonts w:ascii="Century Gothic" w:hAnsi="Century Gothic"/>
        </w:rPr>
      </w:pPr>
      <w:r w:rsidRPr="005167DC">
        <w:rPr>
          <w:rFonts w:ascii="Century Gothic" w:hAnsi="Century Gothic"/>
        </w:rPr>
        <w:t>•Weighted average CO2 tonnes of emissions per million dollars of revenue</w:t>
      </w:r>
    </w:p>
    <w:p w14:paraId="3D161114" w14:textId="10242331" w:rsidR="005167DC" w:rsidRPr="005167DC" w:rsidRDefault="005167DC" w:rsidP="005167DC">
      <w:pPr>
        <w:spacing w:after="0"/>
        <w:ind w:left="720"/>
        <w:jc w:val="both"/>
        <w:rPr>
          <w:rFonts w:ascii="Century Gothic" w:hAnsi="Century Gothic"/>
        </w:rPr>
      </w:pPr>
      <w:r w:rsidRPr="005167DC">
        <w:rPr>
          <w:rFonts w:ascii="Century Gothic" w:hAnsi="Century Gothic"/>
        </w:rPr>
        <w:t>•Weighted average tonnes of emissions to water per million dollars of revenue</w:t>
      </w:r>
    </w:p>
    <w:p w14:paraId="129A08CE" w14:textId="5566D90E" w:rsidR="005167DC" w:rsidRPr="005167DC" w:rsidRDefault="005167DC" w:rsidP="005167DC">
      <w:pPr>
        <w:spacing w:after="0"/>
        <w:ind w:left="720"/>
        <w:jc w:val="both"/>
        <w:rPr>
          <w:rFonts w:ascii="Century Gothic" w:hAnsi="Century Gothic"/>
        </w:rPr>
      </w:pPr>
      <w:r w:rsidRPr="005167DC">
        <w:rPr>
          <w:rFonts w:ascii="Century Gothic" w:hAnsi="Century Gothic"/>
        </w:rPr>
        <w:t>•Share of investments in companies located in or near to biodiversity-sensitive areas where activities negatively affect those areas</w:t>
      </w:r>
    </w:p>
    <w:p w14:paraId="3E512B23" w14:textId="57EBFA57" w:rsidR="005167DC" w:rsidRDefault="005167DC" w:rsidP="00A711D2">
      <w:pPr>
        <w:spacing w:after="0"/>
        <w:ind w:left="720"/>
        <w:jc w:val="both"/>
        <w:rPr>
          <w:rFonts w:ascii="Century Gothic" w:hAnsi="Century Gothic"/>
        </w:rPr>
      </w:pPr>
      <w:r w:rsidRPr="005167DC">
        <w:rPr>
          <w:rFonts w:ascii="Century Gothic" w:hAnsi="Century Gothic"/>
        </w:rPr>
        <w:t>•Weighted average tonnes of hazardous waste generated per million dollars of revenue</w:t>
      </w:r>
    </w:p>
    <w:p w14:paraId="14945F9C" w14:textId="77777777" w:rsidR="00A711D2" w:rsidRPr="005167DC" w:rsidRDefault="00A711D2" w:rsidP="00A711D2">
      <w:pPr>
        <w:spacing w:after="0"/>
        <w:ind w:left="720"/>
        <w:jc w:val="both"/>
        <w:rPr>
          <w:rFonts w:ascii="Century Gothic" w:hAnsi="Century Gothic"/>
        </w:rPr>
      </w:pPr>
    </w:p>
    <w:p w14:paraId="4AF0B96D" w14:textId="77777777" w:rsidR="005167DC" w:rsidRPr="005167DC" w:rsidRDefault="005167DC" w:rsidP="005167DC">
      <w:pPr>
        <w:ind w:left="720"/>
        <w:jc w:val="both"/>
        <w:rPr>
          <w:rFonts w:ascii="Century Gothic" w:hAnsi="Century Gothic"/>
          <w:b/>
          <w:bCs/>
        </w:rPr>
      </w:pPr>
      <w:r w:rsidRPr="005167DC">
        <w:rPr>
          <w:rFonts w:ascii="Century Gothic" w:hAnsi="Century Gothic"/>
          <w:b/>
          <w:bCs/>
        </w:rPr>
        <w:t>Social Characteristics:</w:t>
      </w:r>
    </w:p>
    <w:p w14:paraId="77C14443" w14:textId="0A884063" w:rsidR="008B6524" w:rsidRDefault="005167DC" w:rsidP="005167DC">
      <w:pPr>
        <w:ind w:left="720"/>
        <w:jc w:val="both"/>
        <w:rPr>
          <w:rFonts w:ascii="Century Gothic" w:hAnsi="Century Gothic"/>
        </w:rPr>
      </w:pPr>
      <w:r w:rsidRPr="005167DC">
        <w:rPr>
          <w:rFonts w:ascii="Century Gothic" w:hAnsi="Century Gothic"/>
        </w:rPr>
        <w:t>•Share of investments in companies in compliance with the UN Global Compact Principles</w:t>
      </w:r>
    </w:p>
    <w:p w14:paraId="30853D52" w14:textId="77777777" w:rsidR="006D210B" w:rsidRDefault="006D210B" w:rsidP="005167DC">
      <w:pPr>
        <w:ind w:left="720"/>
        <w:jc w:val="both"/>
        <w:rPr>
          <w:rFonts w:ascii="Century Gothic" w:hAnsi="Century Gothic"/>
        </w:rPr>
      </w:pPr>
    </w:p>
    <w:p w14:paraId="50C9226A" w14:textId="38588509"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t>Data Sources and Processing</w:t>
      </w:r>
    </w:p>
    <w:p w14:paraId="78C488B8" w14:textId="39070BA5" w:rsidR="00254C00" w:rsidRPr="00254C00" w:rsidRDefault="00254C00" w:rsidP="00254C00">
      <w:pPr>
        <w:jc w:val="both"/>
        <w:rPr>
          <w:rFonts w:ascii="Century Gothic" w:hAnsi="Century Gothic"/>
        </w:rPr>
      </w:pPr>
      <w:r w:rsidRPr="00254C00">
        <w:rPr>
          <w:rFonts w:ascii="Century Gothic" w:hAnsi="Century Gothic"/>
        </w:rPr>
        <w:t>The Investment Manager has access to ESG data from both internal and external resources, which allows</w:t>
      </w:r>
      <w:r>
        <w:rPr>
          <w:rFonts w:ascii="Century Gothic" w:hAnsi="Century Gothic"/>
        </w:rPr>
        <w:t xml:space="preserve"> </w:t>
      </w:r>
      <w:r w:rsidRPr="00254C00">
        <w:rPr>
          <w:rFonts w:ascii="Century Gothic" w:hAnsi="Century Gothic"/>
        </w:rPr>
        <w:t>it to assess the Sustainability Risks associated with prospective or existing investments for these financial</w:t>
      </w:r>
      <w:r>
        <w:rPr>
          <w:rFonts w:ascii="Century Gothic" w:hAnsi="Century Gothic"/>
        </w:rPr>
        <w:t xml:space="preserve"> </w:t>
      </w:r>
      <w:r w:rsidRPr="00254C00">
        <w:rPr>
          <w:rFonts w:ascii="Century Gothic" w:hAnsi="Century Gothic"/>
        </w:rPr>
        <w:t>products. This data includes:</w:t>
      </w:r>
    </w:p>
    <w:p w14:paraId="6224C360" w14:textId="154219E2" w:rsidR="00AB3EA5" w:rsidRPr="00AB3EA5" w:rsidRDefault="00F707CE" w:rsidP="008065F2">
      <w:pPr>
        <w:pStyle w:val="ListParagraph"/>
        <w:numPr>
          <w:ilvl w:val="0"/>
          <w:numId w:val="8"/>
        </w:numPr>
        <w:jc w:val="both"/>
        <w:rPr>
          <w:rFonts w:ascii="Century Gothic" w:hAnsi="Century Gothic"/>
        </w:rPr>
      </w:pPr>
      <w:r w:rsidRPr="00AB3EA5">
        <w:rPr>
          <w:rFonts w:ascii="Century Gothic" w:hAnsi="Century Gothic"/>
        </w:rPr>
        <w:t xml:space="preserve">Bloomberg </w:t>
      </w:r>
      <w:r w:rsidR="00414DE0">
        <w:rPr>
          <w:rFonts w:ascii="Century Gothic" w:hAnsi="Century Gothic"/>
        </w:rPr>
        <w:t>ESG scores/ratings.</w:t>
      </w:r>
    </w:p>
    <w:p w14:paraId="0E1B8CDB" w14:textId="066FBAC9" w:rsidR="00254C00" w:rsidRDefault="00405331" w:rsidP="008065F2">
      <w:pPr>
        <w:pStyle w:val="ListParagraph"/>
        <w:numPr>
          <w:ilvl w:val="0"/>
          <w:numId w:val="8"/>
        </w:numPr>
        <w:jc w:val="both"/>
        <w:rPr>
          <w:rFonts w:ascii="Century Gothic" w:hAnsi="Century Gothic"/>
        </w:rPr>
      </w:pPr>
      <w:r w:rsidRPr="00254C00">
        <w:rPr>
          <w:rFonts w:ascii="Century Gothic" w:hAnsi="Century Gothic"/>
        </w:rPr>
        <w:t xml:space="preserve">Proprietary research in respect of issuers prepared by the Investment </w:t>
      </w:r>
      <w:r w:rsidR="00BD5F43" w:rsidRPr="00254C00">
        <w:rPr>
          <w:rFonts w:ascii="Century Gothic" w:hAnsi="Century Gothic"/>
        </w:rPr>
        <w:t xml:space="preserve">Manager, </w:t>
      </w:r>
      <w:r w:rsidR="00BD5F43">
        <w:rPr>
          <w:rFonts w:ascii="Century Gothic" w:hAnsi="Century Gothic"/>
        </w:rPr>
        <w:t>which</w:t>
      </w:r>
      <w:r w:rsidRPr="00254C00">
        <w:rPr>
          <w:rFonts w:ascii="Century Gothic" w:hAnsi="Century Gothic"/>
        </w:rPr>
        <w:t xml:space="preserve"> </w:t>
      </w:r>
      <w:r w:rsidR="00767EDC">
        <w:rPr>
          <w:rFonts w:ascii="Century Gothic" w:hAnsi="Century Gothic"/>
        </w:rPr>
        <w:t xml:space="preserve">may </w:t>
      </w:r>
      <w:r w:rsidRPr="00254C00">
        <w:rPr>
          <w:rFonts w:ascii="Century Gothic" w:hAnsi="Century Gothic"/>
        </w:rPr>
        <w:t>include an evaluation of the ESG impacts and/or attributes of potential investments for the</w:t>
      </w:r>
      <w:r>
        <w:rPr>
          <w:rFonts w:ascii="Century Gothic" w:hAnsi="Century Gothic"/>
        </w:rPr>
        <w:t xml:space="preserve"> </w:t>
      </w:r>
      <w:r w:rsidRPr="00254C00">
        <w:rPr>
          <w:rFonts w:ascii="Century Gothic" w:hAnsi="Century Gothic"/>
        </w:rPr>
        <w:t xml:space="preserve">Fund. Analysis in </w:t>
      </w:r>
      <w:r w:rsidR="00767EDC">
        <w:rPr>
          <w:rFonts w:ascii="Century Gothic" w:hAnsi="Century Gothic"/>
        </w:rPr>
        <w:t>this</w:t>
      </w:r>
      <w:r w:rsidRPr="00254C00">
        <w:rPr>
          <w:rFonts w:ascii="Century Gothic" w:hAnsi="Century Gothic"/>
        </w:rPr>
        <w:t xml:space="preserve"> re</w:t>
      </w:r>
      <w:r w:rsidR="00767EDC">
        <w:rPr>
          <w:rFonts w:ascii="Century Gothic" w:hAnsi="Century Gothic"/>
        </w:rPr>
        <w:t>search</w:t>
      </w:r>
      <w:r w:rsidRPr="00254C00">
        <w:rPr>
          <w:rFonts w:ascii="Century Gothic" w:hAnsi="Century Gothic"/>
        </w:rPr>
        <w:t xml:space="preserve"> is derived from, among other sources, </w:t>
      </w:r>
      <w:r w:rsidR="00C81D16">
        <w:rPr>
          <w:rFonts w:ascii="Century Gothic" w:hAnsi="Century Gothic"/>
        </w:rPr>
        <w:t>external analyst reports, issuer</w:t>
      </w:r>
      <w:r w:rsidR="009D7130">
        <w:rPr>
          <w:rFonts w:ascii="Century Gothic" w:hAnsi="Century Gothic"/>
        </w:rPr>
        <w:t xml:space="preserve"> financial reports and presentations</w:t>
      </w:r>
      <w:r w:rsidR="00254C00" w:rsidRPr="00AB3EA5">
        <w:rPr>
          <w:rFonts w:ascii="Century Gothic" w:hAnsi="Century Gothic"/>
        </w:rPr>
        <w:t>.</w:t>
      </w:r>
    </w:p>
    <w:p w14:paraId="3690AFA4" w14:textId="30FA7E47" w:rsidR="00C75976" w:rsidRPr="00C75976" w:rsidRDefault="00C75976" w:rsidP="008065F2">
      <w:pPr>
        <w:pStyle w:val="ListParagraph"/>
        <w:numPr>
          <w:ilvl w:val="0"/>
          <w:numId w:val="8"/>
        </w:numPr>
        <w:jc w:val="both"/>
        <w:rPr>
          <w:rFonts w:ascii="Century Gothic" w:hAnsi="Century Gothic"/>
        </w:rPr>
      </w:pPr>
      <w:r>
        <w:rPr>
          <w:rFonts w:ascii="Century Gothic" w:hAnsi="Century Gothic"/>
        </w:rPr>
        <w:t xml:space="preserve">Morningstar </w:t>
      </w:r>
      <w:r w:rsidR="002C7F9E">
        <w:rPr>
          <w:rFonts w:ascii="Century Gothic" w:hAnsi="Century Gothic"/>
        </w:rPr>
        <w:t>ESG scores/ratings.</w:t>
      </w:r>
    </w:p>
    <w:p w14:paraId="36F47340" w14:textId="2888C76B" w:rsidR="008B6524" w:rsidRDefault="00254C00" w:rsidP="00254C00">
      <w:pPr>
        <w:jc w:val="both"/>
        <w:rPr>
          <w:rFonts w:ascii="Century Gothic" w:hAnsi="Century Gothic"/>
        </w:rPr>
      </w:pPr>
      <w:r w:rsidRPr="00254C00">
        <w:rPr>
          <w:rFonts w:ascii="Century Gothic" w:hAnsi="Century Gothic"/>
        </w:rPr>
        <w:t>When selecting investments for each financial product, the Investment Manager may employ some</w:t>
      </w:r>
      <w:r w:rsidR="005A7FCB">
        <w:rPr>
          <w:rFonts w:ascii="Century Gothic" w:hAnsi="Century Gothic"/>
        </w:rPr>
        <w:t xml:space="preserve"> </w:t>
      </w:r>
      <w:r w:rsidRPr="00254C00">
        <w:rPr>
          <w:rFonts w:ascii="Century Gothic" w:hAnsi="Century Gothic"/>
        </w:rPr>
        <w:t xml:space="preserve">combination of the above-referenced data as well as other data (developed or </w:t>
      </w:r>
      <w:r w:rsidR="005A7FCB">
        <w:rPr>
          <w:rFonts w:ascii="Century Gothic" w:hAnsi="Century Gothic"/>
        </w:rPr>
        <w:t>a</w:t>
      </w:r>
      <w:r w:rsidRPr="00254C00">
        <w:rPr>
          <w:rFonts w:ascii="Century Gothic" w:hAnsi="Century Gothic"/>
        </w:rPr>
        <w:t xml:space="preserve">cquired by the investment team). The Investment Manager’s analysis </w:t>
      </w:r>
      <w:r w:rsidRPr="00254C00">
        <w:rPr>
          <w:rFonts w:ascii="Century Gothic" w:hAnsi="Century Gothic"/>
        </w:rPr>
        <w:lastRenderedPageBreak/>
        <w:t>may result in various outcomes, including without</w:t>
      </w:r>
      <w:r w:rsidR="005A7FCB">
        <w:rPr>
          <w:rFonts w:ascii="Century Gothic" w:hAnsi="Century Gothic"/>
        </w:rPr>
        <w:t xml:space="preserve"> </w:t>
      </w:r>
      <w:r w:rsidRPr="00254C00">
        <w:rPr>
          <w:rFonts w:ascii="Century Gothic" w:hAnsi="Century Gothic"/>
        </w:rPr>
        <w:t xml:space="preserve">limitation an adjustment to its valuation of an issuer’s securities, a decision to </w:t>
      </w:r>
      <w:r w:rsidR="002C7F9E">
        <w:rPr>
          <w:rFonts w:ascii="Century Gothic" w:hAnsi="Century Gothic"/>
        </w:rPr>
        <w:t>increase</w:t>
      </w:r>
      <w:r w:rsidRPr="00254C00">
        <w:rPr>
          <w:rFonts w:ascii="Century Gothic" w:hAnsi="Century Gothic"/>
        </w:rPr>
        <w:t xml:space="preserve"> or </w:t>
      </w:r>
      <w:r w:rsidR="002C7F9E">
        <w:rPr>
          <w:rFonts w:ascii="Century Gothic" w:hAnsi="Century Gothic"/>
        </w:rPr>
        <w:t>decrease</w:t>
      </w:r>
      <w:r w:rsidR="005A7FCB">
        <w:rPr>
          <w:rFonts w:ascii="Century Gothic" w:hAnsi="Century Gothic"/>
        </w:rPr>
        <w:t xml:space="preserve"> </w:t>
      </w:r>
      <w:r w:rsidRPr="00254C00">
        <w:rPr>
          <w:rFonts w:ascii="Century Gothic" w:hAnsi="Century Gothic"/>
        </w:rPr>
        <w:t xml:space="preserve">exposure to those securities in the </w:t>
      </w:r>
      <w:r w:rsidR="002C7F9E">
        <w:rPr>
          <w:rFonts w:ascii="Century Gothic" w:hAnsi="Century Gothic"/>
        </w:rPr>
        <w:t>Sub-Fund</w:t>
      </w:r>
      <w:r w:rsidRPr="00254C00">
        <w:rPr>
          <w:rFonts w:ascii="Century Gothic" w:hAnsi="Century Gothic"/>
        </w:rPr>
        <w:t>, or a decision to avoid investment in</w:t>
      </w:r>
      <w:r w:rsidR="005A7FCB">
        <w:rPr>
          <w:rFonts w:ascii="Century Gothic" w:hAnsi="Century Gothic"/>
        </w:rPr>
        <w:t xml:space="preserve"> </w:t>
      </w:r>
      <w:r w:rsidRPr="00254C00">
        <w:rPr>
          <w:rFonts w:ascii="Century Gothic" w:hAnsi="Century Gothic"/>
        </w:rPr>
        <w:t>the securities. The Investment Manager’s assessment relating to an investment for a financial product will</w:t>
      </w:r>
      <w:r w:rsidR="005A7FCB">
        <w:rPr>
          <w:rFonts w:ascii="Century Gothic" w:hAnsi="Century Gothic"/>
        </w:rPr>
        <w:t xml:space="preserve"> </w:t>
      </w:r>
      <w:r w:rsidRPr="00254C00">
        <w:rPr>
          <w:rFonts w:ascii="Century Gothic" w:hAnsi="Century Gothic"/>
        </w:rPr>
        <w:t>evolve as it continues to conduct fundamental research concerning that issuer, its industry/sector, and other</w:t>
      </w:r>
      <w:r w:rsidR="005A7FCB">
        <w:rPr>
          <w:rFonts w:ascii="Century Gothic" w:hAnsi="Century Gothic"/>
        </w:rPr>
        <w:t xml:space="preserve"> </w:t>
      </w:r>
      <w:r w:rsidRPr="00254C00">
        <w:rPr>
          <w:rFonts w:ascii="Century Gothic" w:hAnsi="Century Gothic"/>
        </w:rPr>
        <w:t>interested entities and stakeholders.</w:t>
      </w:r>
    </w:p>
    <w:p w14:paraId="012F0563" w14:textId="0C8D2E8F" w:rsidR="00152AFF" w:rsidRPr="00357876" w:rsidRDefault="00152AFF" w:rsidP="00357876">
      <w:pPr>
        <w:pStyle w:val="ListParagraph"/>
        <w:numPr>
          <w:ilvl w:val="0"/>
          <w:numId w:val="3"/>
        </w:numPr>
        <w:jc w:val="both"/>
        <w:rPr>
          <w:rFonts w:ascii="Century Gothic" w:hAnsi="Century Gothic"/>
          <w:b/>
          <w:bCs/>
          <w:u w:val="single"/>
        </w:rPr>
      </w:pPr>
      <w:r w:rsidRPr="00357876">
        <w:rPr>
          <w:rFonts w:ascii="Century Gothic" w:hAnsi="Century Gothic"/>
          <w:b/>
          <w:bCs/>
          <w:u w:val="single"/>
        </w:rPr>
        <w:t>Limitations to Methodologies and Data</w:t>
      </w:r>
    </w:p>
    <w:p w14:paraId="730B7049" w14:textId="39C68105" w:rsidR="00152AFF" w:rsidRPr="009A16E8" w:rsidRDefault="009A16E8" w:rsidP="009A16E8">
      <w:pPr>
        <w:jc w:val="both"/>
        <w:rPr>
          <w:rFonts w:ascii="Century Gothic" w:hAnsi="Century Gothic"/>
        </w:rPr>
      </w:pPr>
      <w:r w:rsidRPr="009A16E8">
        <w:rPr>
          <w:rFonts w:ascii="Century Gothic" w:hAnsi="Century Gothic"/>
        </w:rPr>
        <w:t xml:space="preserve">The effectiveness of </w:t>
      </w:r>
      <w:r>
        <w:rPr>
          <w:rFonts w:ascii="Century Gothic" w:hAnsi="Century Gothic"/>
        </w:rPr>
        <w:t>the Investment Manager’s</w:t>
      </w:r>
      <w:r w:rsidRPr="009A16E8">
        <w:rPr>
          <w:rFonts w:ascii="Century Gothic" w:hAnsi="Century Gothic"/>
        </w:rPr>
        <w:t xml:space="preserve"> research process </w:t>
      </w:r>
      <w:r w:rsidR="00BE7841">
        <w:rPr>
          <w:rFonts w:ascii="Century Gothic" w:hAnsi="Century Gothic"/>
        </w:rPr>
        <w:t xml:space="preserve">relies </w:t>
      </w:r>
      <w:r w:rsidRPr="009A16E8">
        <w:rPr>
          <w:rFonts w:ascii="Century Gothic" w:hAnsi="Century Gothic"/>
        </w:rPr>
        <w:t xml:space="preserve">upon </w:t>
      </w:r>
      <w:r w:rsidR="00BE7841">
        <w:rPr>
          <w:rFonts w:ascii="Century Gothic" w:hAnsi="Century Gothic"/>
        </w:rPr>
        <w:t xml:space="preserve">both </w:t>
      </w:r>
      <w:r w:rsidRPr="009A16E8">
        <w:rPr>
          <w:rFonts w:ascii="Century Gothic" w:hAnsi="Century Gothic"/>
        </w:rPr>
        <w:t>the experience and</w:t>
      </w:r>
      <w:r>
        <w:rPr>
          <w:rFonts w:ascii="Century Gothic" w:hAnsi="Century Gothic"/>
        </w:rPr>
        <w:t xml:space="preserve"> </w:t>
      </w:r>
      <w:r w:rsidRPr="009A16E8">
        <w:rPr>
          <w:rFonts w:ascii="Century Gothic" w:hAnsi="Century Gothic"/>
        </w:rPr>
        <w:t xml:space="preserve">skill of </w:t>
      </w:r>
      <w:r w:rsidR="00F50B49">
        <w:rPr>
          <w:rFonts w:ascii="Century Gothic" w:hAnsi="Century Gothic"/>
        </w:rPr>
        <w:t>the</w:t>
      </w:r>
      <w:r w:rsidRPr="009A16E8">
        <w:rPr>
          <w:rFonts w:ascii="Century Gothic" w:hAnsi="Century Gothic"/>
        </w:rPr>
        <w:t xml:space="preserve"> investment personnel and the quality of data and information available to those personnel. While</w:t>
      </w:r>
      <w:r>
        <w:rPr>
          <w:rFonts w:ascii="Century Gothic" w:hAnsi="Century Gothic"/>
        </w:rPr>
        <w:t xml:space="preserve"> </w:t>
      </w:r>
      <w:r w:rsidRPr="009A16E8">
        <w:rPr>
          <w:rFonts w:ascii="Century Gothic" w:hAnsi="Century Gothic"/>
        </w:rPr>
        <w:t>the Investment Manager’s research techniques are designed to assess the ESG</w:t>
      </w:r>
      <w:r>
        <w:rPr>
          <w:rFonts w:ascii="Century Gothic" w:hAnsi="Century Gothic"/>
        </w:rPr>
        <w:t xml:space="preserve"> </w:t>
      </w:r>
      <w:r w:rsidRPr="009A16E8">
        <w:rPr>
          <w:rFonts w:ascii="Century Gothic" w:hAnsi="Century Gothic"/>
        </w:rPr>
        <w:t>profile and Sustainability Risks of issuers, there is no guarantee that such techniques will identify all matters</w:t>
      </w:r>
      <w:r>
        <w:rPr>
          <w:rFonts w:ascii="Century Gothic" w:hAnsi="Century Gothic"/>
        </w:rPr>
        <w:t xml:space="preserve"> </w:t>
      </w:r>
      <w:r w:rsidRPr="009A16E8">
        <w:rPr>
          <w:rFonts w:ascii="Century Gothic" w:hAnsi="Century Gothic"/>
        </w:rPr>
        <w:t>relevant to the assessment or ongoing investment due diligence.</w:t>
      </w:r>
      <w:r w:rsidR="00F50B49">
        <w:rPr>
          <w:rFonts w:ascii="Century Gothic" w:hAnsi="Century Gothic"/>
        </w:rPr>
        <w:t xml:space="preserve"> W</w:t>
      </w:r>
      <w:r w:rsidRPr="009A16E8">
        <w:rPr>
          <w:rFonts w:ascii="Century Gothic" w:hAnsi="Century Gothic"/>
        </w:rPr>
        <w:t xml:space="preserve">hile </w:t>
      </w:r>
      <w:r w:rsidR="00F50B49">
        <w:rPr>
          <w:rFonts w:ascii="Century Gothic" w:hAnsi="Century Gothic"/>
        </w:rPr>
        <w:t>the Investment Manager</w:t>
      </w:r>
      <w:r w:rsidRPr="009A16E8">
        <w:rPr>
          <w:rFonts w:ascii="Century Gothic" w:hAnsi="Century Gothic"/>
        </w:rPr>
        <w:t xml:space="preserve"> presumes</w:t>
      </w:r>
      <w:r>
        <w:rPr>
          <w:rFonts w:ascii="Century Gothic" w:hAnsi="Century Gothic"/>
        </w:rPr>
        <w:t xml:space="preserve"> </w:t>
      </w:r>
      <w:r w:rsidRPr="009A16E8">
        <w:rPr>
          <w:rFonts w:ascii="Century Gothic" w:hAnsi="Century Gothic"/>
        </w:rPr>
        <w:t xml:space="preserve">that the data it </w:t>
      </w:r>
      <w:r w:rsidR="00767CF6">
        <w:rPr>
          <w:rFonts w:ascii="Century Gothic" w:hAnsi="Century Gothic"/>
        </w:rPr>
        <w:t>utilises</w:t>
      </w:r>
      <w:r w:rsidRPr="009A16E8">
        <w:rPr>
          <w:rFonts w:ascii="Century Gothic" w:hAnsi="Century Gothic"/>
        </w:rPr>
        <w:t xml:space="preserve"> from third-parties and develops using proprietary research is reliable and</w:t>
      </w:r>
      <w:r>
        <w:rPr>
          <w:rFonts w:ascii="Century Gothic" w:hAnsi="Century Gothic"/>
        </w:rPr>
        <w:t xml:space="preserve"> </w:t>
      </w:r>
      <w:r w:rsidRPr="009A16E8">
        <w:rPr>
          <w:rFonts w:ascii="Century Gothic" w:hAnsi="Century Gothic"/>
        </w:rPr>
        <w:t xml:space="preserve">comprehensive, it is possible that such data will be impacted by inaccuracies or limitations that may </w:t>
      </w:r>
      <w:r w:rsidR="0098563D">
        <w:rPr>
          <w:rFonts w:ascii="Century Gothic" w:hAnsi="Century Gothic"/>
        </w:rPr>
        <w:t xml:space="preserve">not </w:t>
      </w:r>
      <w:r w:rsidRPr="009A16E8">
        <w:rPr>
          <w:rFonts w:ascii="Century Gothic" w:hAnsi="Century Gothic"/>
        </w:rPr>
        <w:t>be</w:t>
      </w:r>
      <w:r w:rsidR="000C4BC1">
        <w:rPr>
          <w:rFonts w:ascii="Century Gothic" w:hAnsi="Century Gothic"/>
        </w:rPr>
        <w:t xml:space="preserve"> </w:t>
      </w:r>
      <w:r w:rsidR="00780E40">
        <w:rPr>
          <w:rFonts w:ascii="Century Gothic" w:hAnsi="Century Gothic"/>
        </w:rPr>
        <w:t>evident to the Investment Manager.</w:t>
      </w:r>
    </w:p>
    <w:p w14:paraId="3259E176" w14:textId="03EE58A5"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t>Due Diligence</w:t>
      </w:r>
    </w:p>
    <w:p w14:paraId="3C87CBE0" w14:textId="6F11C5CE" w:rsidR="008B6524" w:rsidRDefault="00A36951" w:rsidP="00A36951">
      <w:pPr>
        <w:jc w:val="both"/>
        <w:rPr>
          <w:rFonts w:ascii="Century Gothic" w:hAnsi="Century Gothic"/>
        </w:rPr>
      </w:pPr>
      <w:r w:rsidRPr="00A36951">
        <w:rPr>
          <w:rFonts w:ascii="Century Gothic" w:hAnsi="Century Gothic"/>
        </w:rPr>
        <w:t>The Investment Manager’s relevant investment personnel are responsible for conducting ongoing due</w:t>
      </w:r>
      <w:r>
        <w:rPr>
          <w:rFonts w:ascii="Century Gothic" w:hAnsi="Century Gothic"/>
        </w:rPr>
        <w:t xml:space="preserve"> </w:t>
      </w:r>
      <w:r w:rsidRPr="00A36951">
        <w:rPr>
          <w:rFonts w:ascii="Century Gothic" w:hAnsi="Century Gothic"/>
        </w:rPr>
        <w:t xml:space="preserve">diligence on the securities held in the portfolios of the </w:t>
      </w:r>
      <w:r w:rsidR="00B11481">
        <w:rPr>
          <w:rFonts w:ascii="Century Gothic" w:hAnsi="Century Gothic"/>
        </w:rPr>
        <w:t>Sub-Fund</w:t>
      </w:r>
      <w:r w:rsidRPr="00A36951">
        <w:rPr>
          <w:rFonts w:ascii="Century Gothic" w:hAnsi="Century Gothic"/>
        </w:rPr>
        <w:t>. The Investment Manager’s due</w:t>
      </w:r>
      <w:r>
        <w:rPr>
          <w:rFonts w:ascii="Century Gothic" w:hAnsi="Century Gothic"/>
        </w:rPr>
        <w:t xml:space="preserve"> </w:t>
      </w:r>
      <w:r w:rsidRPr="00A36951">
        <w:rPr>
          <w:rFonts w:ascii="Century Gothic" w:hAnsi="Century Gothic"/>
        </w:rPr>
        <w:t xml:space="preserve">diligence is </w:t>
      </w:r>
      <w:r w:rsidR="00B11481">
        <w:rPr>
          <w:rFonts w:ascii="Century Gothic" w:hAnsi="Century Gothic"/>
        </w:rPr>
        <w:t>based on</w:t>
      </w:r>
      <w:r w:rsidRPr="00A36951">
        <w:rPr>
          <w:rFonts w:ascii="Century Gothic" w:hAnsi="Century Gothic"/>
        </w:rPr>
        <w:t xml:space="preserve"> </w:t>
      </w:r>
      <w:r w:rsidR="00B11481">
        <w:rPr>
          <w:rFonts w:ascii="Century Gothic" w:hAnsi="Century Gothic"/>
        </w:rPr>
        <w:t>it’s quantitative and qualitative</w:t>
      </w:r>
      <w:r w:rsidRPr="00A36951">
        <w:rPr>
          <w:rFonts w:ascii="Century Gothic" w:hAnsi="Century Gothic"/>
        </w:rPr>
        <w:t xml:space="preserve"> research analysis applied to the</w:t>
      </w:r>
      <w:r>
        <w:rPr>
          <w:rFonts w:ascii="Century Gothic" w:hAnsi="Century Gothic"/>
        </w:rPr>
        <w:t xml:space="preserve"> </w:t>
      </w:r>
      <w:r w:rsidRPr="00A36951">
        <w:rPr>
          <w:rFonts w:ascii="Century Gothic" w:hAnsi="Century Gothic"/>
        </w:rPr>
        <w:t xml:space="preserve">securities and issuers in </w:t>
      </w:r>
      <w:r w:rsidR="006525BC">
        <w:rPr>
          <w:rFonts w:ascii="Century Gothic" w:hAnsi="Century Gothic"/>
        </w:rPr>
        <w:t>it’s</w:t>
      </w:r>
      <w:r w:rsidRPr="00A36951">
        <w:rPr>
          <w:rFonts w:ascii="Century Gothic" w:hAnsi="Century Gothic"/>
        </w:rPr>
        <w:t xml:space="preserve"> investment universe.</w:t>
      </w:r>
      <w:r w:rsidR="00401338">
        <w:rPr>
          <w:rFonts w:ascii="Century Gothic" w:hAnsi="Century Gothic"/>
        </w:rPr>
        <w:t xml:space="preserve"> </w:t>
      </w:r>
      <w:r w:rsidRPr="00A36951">
        <w:rPr>
          <w:rFonts w:ascii="Century Gothic" w:hAnsi="Century Gothic"/>
        </w:rPr>
        <w:t xml:space="preserve"> The analysis is based</w:t>
      </w:r>
      <w:r>
        <w:rPr>
          <w:rFonts w:ascii="Century Gothic" w:hAnsi="Century Gothic"/>
        </w:rPr>
        <w:t xml:space="preserve"> </w:t>
      </w:r>
      <w:r w:rsidRPr="00A36951">
        <w:rPr>
          <w:rFonts w:ascii="Century Gothic" w:hAnsi="Century Gothic"/>
        </w:rPr>
        <w:t xml:space="preserve">upon data acquired by </w:t>
      </w:r>
      <w:r w:rsidR="004F5E4B">
        <w:rPr>
          <w:rFonts w:ascii="Century Gothic" w:hAnsi="Century Gothic"/>
        </w:rPr>
        <w:t>the Investment Manager</w:t>
      </w:r>
      <w:r w:rsidRPr="00A36951">
        <w:rPr>
          <w:rFonts w:ascii="Century Gothic" w:hAnsi="Century Gothic"/>
        </w:rPr>
        <w:t xml:space="preserve">, data and research tools developed by the </w:t>
      </w:r>
      <w:r w:rsidR="00AF05DC">
        <w:rPr>
          <w:rFonts w:ascii="Century Gothic" w:hAnsi="Century Gothic"/>
        </w:rPr>
        <w:t>Investment Manager</w:t>
      </w:r>
      <w:r w:rsidRPr="00A36951">
        <w:rPr>
          <w:rFonts w:ascii="Century Gothic" w:hAnsi="Century Gothic"/>
        </w:rPr>
        <w:t xml:space="preserve"> among other things. The </w:t>
      </w:r>
      <w:r w:rsidR="00BD53AD">
        <w:rPr>
          <w:rFonts w:ascii="Century Gothic" w:hAnsi="Century Gothic"/>
        </w:rPr>
        <w:t>Sub-Fund</w:t>
      </w:r>
      <w:r w:rsidRPr="00A36951">
        <w:rPr>
          <w:rFonts w:ascii="Century Gothic" w:hAnsi="Century Gothic"/>
        </w:rPr>
        <w:t xml:space="preserve"> </w:t>
      </w:r>
      <w:r w:rsidR="00BD53AD">
        <w:rPr>
          <w:rFonts w:ascii="Century Gothic" w:hAnsi="Century Gothic"/>
        </w:rPr>
        <w:t>is</w:t>
      </w:r>
      <w:r>
        <w:rPr>
          <w:rFonts w:ascii="Century Gothic" w:hAnsi="Century Gothic"/>
        </w:rPr>
        <w:t xml:space="preserve"> </w:t>
      </w:r>
      <w:r w:rsidRPr="00A36951">
        <w:rPr>
          <w:rFonts w:ascii="Century Gothic" w:hAnsi="Century Gothic"/>
        </w:rPr>
        <w:t xml:space="preserve">actively managed by the Investment Manager’s personnel, and </w:t>
      </w:r>
      <w:r w:rsidR="00BD53AD">
        <w:rPr>
          <w:rFonts w:ascii="Century Gothic" w:hAnsi="Century Gothic"/>
        </w:rPr>
        <w:t>its</w:t>
      </w:r>
      <w:r w:rsidRPr="00A36951">
        <w:rPr>
          <w:rFonts w:ascii="Century Gothic" w:hAnsi="Century Gothic"/>
        </w:rPr>
        <w:t xml:space="preserve"> review of </w:t>
      </w:r>
      <w:r w:rsidR="00BD53AD">
        <w:rPr>
          <w:rFonts w:ascii="Century Gothic" w:hAnsi="Century Gothic"/>
        </w:rPr>
        <w:t>the Sub-Fund is ongoing, with a formal</w:t>
      </w:r>
      <w:r w:rsidR="00C42A46">
        <w:rPr>
          <w:rFonts w:ascii="Century Gothic" w:hAnsi="Century Gothic"/>
        </w:rPr>
        <w:t>, full, detailed</w:t>
      </w:r>
      <w:r w:rsidR="00BD53AD">
        <w:rPr>
          <w:rFonts w:ascii="Century Gothic" w:hAnsi="Century Gothic"/>
        </w:rPr>
        <w:t xml:space="preserve"> analysis performed </w:t>
      </w:r>
      <w:r w:rsidR="00C42A46">
        <w:rPr>
          <w:rFonts w:ascii="Century Gothic" w:hAnsi="Century Gothic"/>
        </w:rPr>
        <w:t>twice a month.</w:t>
      </w:r>
    </w:p>
    <w:p w14:paraId="1D22FCB4" w14:textId="2A1F1894"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t>Engagement Policies</w:t>
      </w:r>
    </w:p>
    <w:p w14:paraId="05FEC1B5" w14:textId="28C11ABA" w:rsidR="008B6524" w:rsidRDefault="006A5673" w:rsidP="00726A52">
      <w:pPr>
        <w:jc w:val="both"/>
        <w:rPr>
          <w:rFonts w:ascii="Century Gothic" w:hAnsi="Century Gothic"/>
        </w:rPr>
      </w:pPr>
      <w:r>
        <w:rPr>
          <w:rFonts w:ascii="Century Gothic" w:hAnsi="Century Gothic"/>
        </w:rPr>
        <w:t>D</w:t>
      </w:r>
      <w:r w:rsidR="00503542">
        <w:rPr>
          <w:rFonts w:ascii="Century Gothic" w:hAnsi="Century Gothic"/>
        </w:rPr>
        <w:t xml:space="preserve">irect </w:t>
      </w:r>
      <w:r w:rsidR="00726A52" w:rsidRPr="00726A52">
        <w:rPr>
          <w:rFonts w:ascii="Century Gothic" w:hAnsi="Century Gothic"/>
        </w:rPr>
        <w:t xml:space="preserve">engagement with issuers is </w:t>
      </w:r>
      <w:r w:rsidR="00EA3AC1">
        <w:rPr>
          <w:rFonts w:ascii="Century Gothic" w:hAnsi="Century Gothic"/>
        </w:rPr>
        <w:t>typically not an</w:t>
      </w:r>
      <w:r w:rsidR="00726A52" w:rsidRPr="00726A52">
        <w:rPr>
          <w:rFonts w:ascii="Century Gothic" w:hAnsi="Century Gothic"/>
        </w:rPr>
        <w:t xml:space="preserve"> integral part of </w:t>
      </w:r>
      <w:r w:rsidR="00EA3AC1">
        <w:rPr>
          <w:rFonts w:ascii="Century Gothic" w:hAnsi="Century Gothic"/>
        </w:rPr>
        <w:t>the Investment Manager’s</w:t>
      </w:r>
      <w:r w:rsidR="00726A52" w:rsidRPr="00726A52">
        <w:rPr>
          <w:rFonts w:ascii="Century Gothic" w:hAnsi="Century Gothic"/>
        </w:rPr>
        <w:t xml:space="preserve"> investment process.</w:t>
      </w:r>
      <w:r w:rsidR="004519BB">
        <w:rPr>
          <w:rFonts w:ascii="Century Gothic" w:hAnsi="Century Gothic"/>
        </w:rPr>
        <w:t xml:space="preserve"> </w:t>
      </w:r>
      <w:r w:rsidR="00503542">
        <w:rPr>
          <w:rFonts w:ascii="Century Gothic" w:hAnsi="Century Gothic"/>
        </w:rPr>
        <w:t xml:space="preserve">The </w:t>
      </w:r>
      <w:r w:rsidR="00B8170E">
        <w:rPr>
          <w:rFonts w:ascii="Century Gothic" w:hAnsi="Century Gothic"/>
        </w:rPr>
        <w:t xml:space="preserve">Investment Manager does however take an active approach to proxy voting and aims to vote </w:t>
      </w:r>
      <w:r w:rsidR="00273ACF">
        <w:rPr>
          <w:rFonts w:ascii="Century Gothic" w:hAnsi="Century Gothic"/>
        </w:rPr>
        <w:t>in every instance where it is eligible to do so</w:t>
      </w:r>
      <w:r w:rsidR="00726A52" w:rsidRPr="00726A52">
        <w:rPr>
          <w:rFonts w:ascii="Century Gothic" w:hAnsi="Century Gothic"/>
        </w:rPr>
        <w:t>.</w:t>
      </w:r>
      <w:r w:rsidR="00273ACF">
        <w:rPr>
          <w:rFonts w:ascii="Century Gothic" w:hAnsi="Century Gothic"/>
        </w:rPr>
        <w:t xml:space="preserve">  Each agenda item is reviewed individually</w:t>
      </w:r>
      <w:r w:rsidR="003C582E">
        <w:rPr>
          <w:rFonts w:ascii="Century Gothic" w:hAnsi="Century Gothic"/>
        </w:rPr>
        <w:t xml:space="preserve">, particularly </w:t>
      </w:r>
      <w:r w:rsidR="00BD32AE">
        <w:rPr>
          <w:rFonts w:ascii="Century Gothic" w:hAnsi="Century Gothic"/>
        </w:rPr>
        <w:t xml:space="preserve">non-standard </w:t>
      </w:r>
      <w:r w:rsidR="003C582E">
        <w:rPr>
          <w:rFonts w:ascii="Century Gothic" w:hAnsi="Century Gothic"/>
        </w:rPr>
        <w:t xml:space="preserve">shareholder driven items, and </w:t>
      </w:r>
      <w:r w:rsidR="00FB42AC">
        <w:rPr>
          <w:rFonts w:ascii="Century Gothic" w:hAnsi="Century Gothic"/>
        </w:rPr>
        <w:t xml:space="preserve">the Investment Manager will vote </w:t>
      </w:r>
      <w:r>
        <w:rPr>
          <w:rFonts w:ascii="Century Gothic" w:hAnsi="Century Gothic"/>
        </w:rPr>
        <w:t>according to</w:t>
      </w:r>
      <w:r w:rsidR="00FB42AC">
        <w:rPr>
          <w:rFonts w:ascii="Century Gothic" w:hAnsi="Century Gothic"/>
        </w:rPr>
        <w:t xml:space="preserve"> each item</w:t>
      </w:r>
      <w:r w:rsidR="00CF2719">
        <w:rPr>
          <w:rFonts w:ascii="Century Gothic" w:hAnsi="Century Gothic"/>
        </w:rPr>
        <w:t>’</w:t>
      </w:r>
      <w:r w:rsidR="00FB42AC">
        <w:rPr>
          <w:rFonts w:ascii="Century Gothic" w:hAnsi="Century Gothic"/>
        </w:rPr>
        <w:t xml:space="preserve">s merits, not on the recommendation of the </w:t>
      </w:r>
      <w:r>
        <w:rPr>
          <w:rFonts w:ascii="Century Gothic" w:hAnsi="Century Gothic"/>
        </w:rPr>
        <w:t>company board.</w:t>
      </w:r>
      <w:r w:rsidR="00CF2719">
        <w:rPr>
          <w:rFonts w:ascii="Century Gothic" w:hAnsi="Century Gothic"/>
        </w:rPr>
        <w:t xml:space="preserve">  The Investment Manager’s Proxy Voting Policy contains full details of the principles and procedures involved in the proxy voting process.</w:t>
      </w:r>
    </w:p>
    <w:p w14:paraId="29A70183" w14:textId="4C36F8EC" w:rsidR="008B6524" w:rsidRPr="008065F2" w:rsidRDefault="008B6524" w:rsidP="00357876">
      <w:pPr>
        <w:pStyle w:val="ListParagraph"/>
        <w:numPr>
          <w:ilvl w:val="0"/>
          <w:numId w:val="3"/>
        </w:numPr>
        <w:jc w:val="both"/>
        <w:rPr>
          <w:rFonts w:ascii="Century Gothic" w:hAnsi="Century Gothic"/>
          <w:b/>
          <w:bCs/>
        </w:rPr>
      </w:pPr>
      <w:r w:rsidRPr="008065F2">
        <w:rPr>
          <w:rFonts w:ascii="Century Gothic" w:hAnsi="Century Gothic"/>
          <w:b/>
          <w:bCs/>
          <w:u w:val="single"/>
        </w:rPr>
        <w:t>Designated Reference Benchmark</w:t>
      </w:r>
    </w:p>
    <w:p w14:paraId="73F84F6C" w14:textId="0EA02C68" w:rsidR="008B6524" w:rsidRPr="008B6524" w:rsidRDefault="008B6524" w:rsidP="00877E8E">
      <w:pPr>
        <w:jc w:val="both"/>
        <w:rPr>
          <w:rFonts w:ascii="Century Gothic" w:hAnsi="Century Gothic"/>
        </w:rPr>
      </w:pPr>
      <w:r w:rsidRPr="008B6524">
        <w:rPr>
          <w:rFonts w:ascii="Century Gothic" w:hAnsi="Century Gothic"/>
        </w:rPr>
        <w:t xml:space="preserve">The </w:t>
      </w:r>
      <w:r w:rsidR="0080155A">
        <w:rPr>
          <w:rFonts w:ascii="Century Gothic" w:hAnsi="Century Gothic"/>
        </w:rPr>
        <w:t>Sub-Fund</w:t>
      </w:r>
      <w:r w:rsidRPr="008B6524">
        <w:rPr>
          <w:rFonts w:ascii="Century Gothic" w:hAnsi="Century Gothic"/>
        </w:rPr>
        <w:t xml:space="preserve"> do</w:t>
      </w:r>
      <w:r>
        <w:rPr>
          <w:rFonts w:ascii="Century Gothic" w:hAnsi="Century Gothic"/>
        </w:rPr>
        <w:t>es</w:t>
      </w:r>
      <w:r w:rsidRPr="008B6524">
        <w:rPr>
          <w:rFonts w:ascii="Century Gothic" w:hAnsi="Century Gothic"/>
        </w:rPr>
        <w:t xml:space="preserve"> not designate an index as a reference benchmark aligned with the environmental</w:t>
      </w:r>
      <w:r>
        <w:rPr>
          <w:rFonts w:ascii="Century Gothic" w:hAnsi="Century Gothic"/>
        </w:rPr>
        <w:t xml:space="preserve"> </w:t>
      </w:r>
      <w:r w:rsidRPr="008B6524">
        <w:rPr>
          <w:rFonts w:ascii="Century Gothic" w:hAnsi="Century Gothic"/>
        </w:rPr>
        <w:t xml:space="preserve">or social characteristics </w:t>
      </w:r>
      <w:r w:rsidR="003B36B7">
        <w:rPr>
          <w:rFonts w:ascii="Century Gothic" w:hAnsi="Century Gothic"/>
        </w:rPr>
        <w:t>it may</w:t>
      </w:r>
      <w:r w:rsidRPr="008B6524">
        <w:rPr>
          <w:rFonts w:ascii="Century Gothic" w:hAnsi="Century Gothic"/>
        </w:rPr>
        <w:t xml:space="preserve"> promote. To the extent the financial product emplo</w:t>
      </w:r>
      <w:r w:rsidR="004022FE">
        <w:rPr>
          <w:rFonts w:ascii="Century Gothic" w:hAnsi="Century Gothic"/>
        </w:rPr>
        <w:t>ys an index</w:t>
      </w:r>
      <w:r w:rsidRPr="008B6524">
        <w:rPr>
          <w:rFonts w:ascii="Century Gothic" w:hAnsi="Century Gothic"/>
        </w:rPr>
        <w:t xml:space="preserve">, </w:t>
      </w:r>
      <w:r w:rsidR="004022FE">
        <w:rPr>
          <w:rFonts w:ascii="Century Gothic" w:hAnsi="Century Gothic"/>
        </w:rPr>
        <w:t>it is</w:t>
      </w:r>
      <w:r>
        <w:rPr>
          <w:rFonts w:ascii="Century Gothic" w:hAnsi="Century Gothic"/>
        </w:rPr>
        <w:t xml:space="preserve"> </w:t>
      </w:r>
      <w:r w:rsidRPr="008B6524">
        <w:rPr>
          <w:rFonts w:ascii="Century Gothic" w:hAnsi="Century Gothic"/>
        </w:rPr>
        <w:t>used for performance measurement</w:t>
      </w:r>
      <w:r>
        <w:rPr>
          <w:rFonts w:ascii="Century Gothic" w:hAnsi="Century Gothic"/>
        </w:rPr>
        <w:t>.</w:t>
      </w:r>
      <w:bookmarkEnd w:id="0"/>
    </w:p>
    <w:sectPr w:rsidR="008B6524" w:rsidRPr="008B65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756"/>
    <w:multiLevelType w:val="hybridMultilevel"/>
    <w:tmpl w:val="25D22F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1C127B"/>
    <w:multiLevelType w:val="hybridMultilevel"/>
    <w:tmpl w:val="630C5D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662A33"/>
    <w:multiLevelType w:val="hybridMultilevel"/>
    <w:tmpl w:val="2F8C7F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E04D3"/>
    <w:multiLevelType w:val="hybridMultilevel"/>
    <w:tmpl w:val="973410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D40E6"/>
    <w:multiLevelType w:val="hybridMultilevel"/>
    <w:tmpl w:val="C55E5E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F96607"/>
    <w:multiLevelType w:val="hybridMultilevel"/>
    <w:tmpl w:val="BAE8EC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63337"/>
    <w:multiLevelType w:val="hybridMultilevel"/>
    <w:tmpl w:val="02E6B4CA"/>
    <w:lvl w:ilvl="0" w:tplc="536A5C9E">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F10145"/>
    <w:multiLevelType w:val="hybridMultilevel"/>
    <w:tmpl w:val="A19A1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164718">
    <w:abstractNumId w:val="2"/>
  </w:num>
  <w:num w:numId="2" w16cid:durableId="30883665">
    <w:abstractNumId w:val="6"/>
  </w:num>
  <w:num w:numId="3" w16cid:durableId="745346962">
    <w:abstractNumId w:val="1"/>
  </w:num>
  <w:num w:numId="4" w16cid:durableId="788813571">
    <w:abstractNumId w:val="5"/>
  </w:num>
  <w:num w:numId="5" w16cid:durableId="47413630">
    <w:abstractNumId w:val="4"/>
  </w:num>
  <w:num w:numId="6" w16cid:durableId="470943703">
    <w:abstractNumId w:val="7"/>
  </w:num>
  <w:num w:numId="7" w16cid:durableId="1865895455">
    <w:abstractNumId w:val="0"/>
  </w:num>
  <w:num w:numId="8" w16cid:durableId="985166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27"/>
    <w:rsid w:val="0001216E"/>
    <w:rsid w:val="000156F2"/>
    <w:rsid w:val="00050EC6"/>
    <w:rsid w:val="00077A90"/>
    <w:rsid w:val="00093A96"/>
    <w:rsid w:val="000B60DA"/>
    <w:rsid w:val="000C4BC1"/>
    <w:rsid w:val="00102D13"/>
    <w:rsid w:val="0013545E"/>
    <w:rsid w:val="00152AFF"/>
    <w:rsid w:val="00162D04"/>
    <w:rsid w:val="001A1096"/>
    <w:rsid w:val="001A5ED5"/>
    <w:rsid w:val="001B6EBF"/>
    <w:rsid w:val="00245413"/>
    <w:rsid w:val="0025279B"/>
    <w:rsid w:val="00254C00"/>
    <w:rsid w:val="002605FE"/>
    <w:rsid w:val="00273ACF"/>
    <w:rsid w:val="002A462C"/>
    <w:rsid w:val="002C7F9E"/>
    <w:rsid w:val="002F13EF"/>
    <w:rsid w:val="002F6F58"/>
    <w:rsid w:val="00303268"/>
    <w:rsid w:val="00307BF1"/>
    <w:rsid w:val="00336637"/>
    <w:rsid w:val="00357876"/>
    <w:rsid w:val="003B36B7"/>
    <w:rsid w:val="003B5550"/>
    <w:rsid w:val="003C582E"/>
    <w:rsid w:val="00401338"/>
    <w:rsid w:val="004022FE"/>
    <w:rsid w:val="00402430"/>
    <w:rsid w:val="00405331"/>
    <w:rsid w:val="00414DE0"/>
    <w:rsid w:val="004519BB"/>
    <w:rsid w:val="004803A7"/>
    <w:rsid w:val="00493742"/>
    <w:rsid w:val="004A0869"/>
    <w:rsid w:val="004F5E4B"/>
    <w:rsid w:val="00503542"/>
    <w:rsid w:val="00505A33"/>
    <w:rsid w:val="005167DC"/>
    <w:rsid w:val="00541A54"/>
    <w:rsid w:val="0056689E"/>
    <w:rsid w:val="00575F69"/>
    <w:rsid w:val="0059521B"/>
    <w:rsid w:val="005A7FCB"/>
    <w:rsid w:val="005B003E"/>
    <w:rsid w:val="006525BC"/>
    <w:rsid w:val="006A5673"/>
    <w:rsid w:val="006D210B"/>
    <w:rsid w:val="006E1A27"/>
    <w:rsid w:val="006E6998"/>
    <w:rsid w:val="00726A52"/>
    <w:rsid w:val="007554D7"/>
    <w:rsid w:val="00767CF6"/>
    <w:rsid w:val="00767EDC"/>
    <w:rsid w:val="00773895"/>
    <w:rsid w:val="00780E40"/>
    <w:rsid w:val="00782C3B"/>
    <w:rsid w:val="007A59DD"/>
    <w:rsid w:val="0080155A"/>
    <w:rsid w:val="008065F2"/>
    <w:rsid w:val="00830431"/>
    <w:rsid w:val="00877E8E"/>
    <w:rsid w:val="008B53A5"/>
    <w:rsid w:val="008B6524"/>
    <w:rsid w:val="008C570E"/>
    <w:rsid w:val="00923084"/>
    <w:rsid w:val="0098563D"/>
    <w:rsid w:val="009A16E8"/>
    <w:rsid w:val="009D7130"/>
    <w:rsid w:val="009D7A04"/>
    <w:rsid w:val="00A1315B"/>
    <w:rsid w:val="00A17B04"/>
    <w:rsid w:val="00A36951"/>
    <w:rsid w:val="00A711D2"/>
    <w:rsid w:val="00A8678D"/>
    <w:rsid w:val="00AB3EA5"/>
    <w:rsid w:val="00AB7871"/>
    <w:rsid w:val="00AC63FE"/>
    <w:rsid w:val="00AD7A37"/>
    <w:rsid w:val="00AF05DC"/>
    <w:rsid w:val="00B056E1"/>
    <w:rsid w:val="00B11481"/>
    <w:rsid w:val="00B12253"/>
    <w:rsid w:val="00B32EAD"/>
    <w:rsid w:val="00B41873"/>
    <w:rsid w:val="00B74783"/>
    <w:rsid w:val="00B8170E"/>
    <w:rsid w:val="00BD32AE"/>
    <w:rsid w:val="00BD53AD"/>
    <w:rsid w:val="00BD5F43"/>
    <w:rsid w:val="00BE7841"/>
    <w:rsid w:val="00C42A46"/>
    <w:rsid w:val="00C75976"/>
    <w:rsid w:val="00C81D16"/>
    <w:rsid w:val="00C97AEB"/>
    <w:rsid w:val="00CF2719"/>
    <w:rsid w:val="00CF6367"/>
    <w:rsid w:val="00D07B9E"/>
    <w:rsid w:val="00D50358"/>
    <w:rsid w:val="00D50576"/>
    <w:rsid w:val="00DA64B3"/>
    <w:rsid w:val="00E1401E"/>
    <w:rsid w:val="00E85E7A"/>
    <w:rsid w:val="00E91B2E"/>
    <w:rsid w:val="00EA3AC1"/>
    <w:rsid w:val="00EB0C5A"/>
    <w:rsid w:val="00EF6671"/>
    <w:rsid w:val="00F33B35"/>
    <w:rsid w:val="00F47DBB"/>
    <w:rsid w:val="00F50B49"/>
    <w:rsid w:val="00F707CE"/>
    <w:rsid w:val="00FB42AC"/>
    <w:rsid w:val="00FD5D98"/>
    <w:rsid w:val="00FE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578C"/>
  <w15:chartTrackingRefBased/>
  <w15:docId w15:val="{EC0DB644-3587-48FE-A922-BBB37DD0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13"/>
    <w:pPr>
      <w:ind w:left="720"/>
      <w:contextualSpacing/>
    </w:pPr>
  </w:style>
  <w:style w:type="character" w:styleId="CommentReference">
    <w:name w:val="annotation reference"/>
    <w:basedOn w:val="DefaultParagraphFont"/>
    <w:uiPriority w:val="99"/>
    <w:semiHidden/>
    <w:unhideWhenUsed/>
    <w:rsid w:val="0001216E"/>
    <w:rPr>
      <w:sz w:val="16"/>
      <w:szCs w:val="16"/>
    </w:rPr>
  </w:style>
  <w:style w:type="paragraph" w:styleId="CommentText">
    <w:name w:val="annotation text"/>
    <w:basedOn w:val="Normal"/>
    <w:link w:val="CommentTextChar"/>
    <w:uiPriority w:val="99"/>
    <w:unhideWhenUsed/>
    <w:rsid w:val="0001216E"/>
    <w:pPr>
      <w:spacing w:line="240" w:lineRule="auto"/>
    </w:pPr>
    <w:rPr>
      <w:sz w:val="20"/>
      <w:szCs w:val="20"/>
    </w:rPr>
  </w:style>
  <w:style w:type="character" w:customStyle="1" w:styleId="CommentTextChar">
    <w:name w:val="Comment Text Char"/>
    <w:basedOn w:val="DefaultParagraphFont"/>
    <w:link w:val="CommentText"/>
    <w:uiPriority w:val="99"/>
    <w:rsid w:val="0001216E"/>
    <w:rPr>
      <w:sz w:val="20"/>
      <w:szCs w:val="20"/>
    </w:rPr>
  </w:style>
  <w:style w:type="paragraph" w:styleId="CommentSubject">
    <w:name w:val="annotation subject"/>
    <w:basedOn w:val="CommentText"/>
    <w:next w:val="CommentText"/>
    <w:link w:val="CommentSubjectChar"/>
    <w:uiPriority w:val="99"/>
    <w:semiHidden/>
    <w:unhideWhenUsed/>
    <w:rsid w:val="0001216E"/>
    <w:rPr>
      <w:b/>
      <w:bCs/>
    </w:rPr>
  </w:style>
  <w:style w:type="character" w:customStyle="1" w:styleId="CommentSubjectChar">
    <w:name w:val="Comment Subject Char"/>
    <w:basedOn w:val="CommentTextChar"/>
    <w:link w:val="CommentSubject"/>
    <w:uiPriority w:val="99"/>
    <w:semiHidden/>
    <w:rsid w:val="00012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076417-41d7-4671-9486-545f46e05a05" xsi:nil="true"/>
    <lcf76f155ced4ddcb4097134ff3c332f xmlns="6787c1b7-f21b-42cc-a891-1d8034faa5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634E84206E9469A5A091EA5217B36" ma:contentTypeVersion="14" ma:contentTypeDescription="Create a new document." ma:contentTypeScope="" ma:versionID="38f269d722194f44b60ad21a7b38725c">
  <xsd:schema xmlns:xsd="http://www.w3.org/2001/XMLSchema" xmlns:xs="http://www.w3.org/2001/XMLSchema" xmlns:p="http://schemas.microsoft.com/office/2006/metadata/properties" xmlns:ns2="6787c1b7-f21b-42cc-a891-1d8034faa5a0" xmlns:ns3="06076417-41d7-4671-9486-545f46e05a05" targetNamespace="http://schemas.microsoft.com/office/2006/metadata/properties" ma:root="true" ma:fieldsID="bb835020607c8ebc766b39bbbde350a9" ns2:_="" ns3:_="">
    <xsd:import namespace="6787c1b7-f21b-42cc-a891-1d8034faa5a0"/>
    <xsd:import namespace="06076417-41d7-4671-9486-545f46e05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7c1b7-f21b-42cc-a891-1d8034faa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078b65-c21d-4362-92b4-295d8500d7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76417-41d7-4671-9486-545f46e05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16bcf2-2e19-45d9-b44e-5ff6bb430550}" ma:internalName="TaxCatchAll" ma:showField="CatchAllData" ma:web="06076417-41d7-4671-9486-545f46e05a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07056-AA81-4ACE-B5FF-7B76BA4A7E66}">
  <ds:schemaRefs>
    <ds:schemaRef ds:uri="http://schemas.microsoft.com/sharepoint/v3/contenttype/forms"/>
  </ds:schemaRefs>
</ds:datastoreItem>
</file>

<file path=customXml/itemProps2.xml><?xml version="1.0" encoding="utf-8"?>
<ds:datastoreItem xmlns:ds="http://schemas.openxmlformats.org/officeDocument/2006/customXml" ds:itemID="{9D9D3421-4AA9-4E0B-9D70-B6E669A76AF3}">
  <ds:schemaRefs>
    <ds:schemaRef ds:uri="http://schemas.microsoft.com/office/2006/metadata/properties"/>
    <ds:schemaRef ds:uri="http://schemas.microsoft.com/office/infopath/2007/PartnerControls"/>
    <ds:schemaRef ds:uri="06076417-41d7-4671-9486-545f46e05a05"/>
    <ds:schemaRef ds:uri="6787c1b7-f21b-42cc-a891-1d8034faa5a0"/>
  </ds:schemaRefs>
</ds:datastoreItem>
</file>

<file path=customXml/itemProps3.xml><?xml version="1.0" encoding="utf-8"?>
<ds:datastoreItem xmlns:ds="http://schemas.openxmlformats.org/officeDocument/2006/customXml" ds:itemID="{FFE61DEC-508E-4C9F-A987-D3770FE81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7c1b7-f21b-42cc-a891-1d8034faa5a0"/>
    <ds:schemaRef ds:uri="06076417-41d7-4671-9486-545f46e05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Harvey</dc:creator>
  <cp:keywords/>
  <dc:description/>
  <cp:lastModifiedBy>Mark Ellis</cp:lastModifiedBy>
  <cp:revision>2</cp:revision>
  <dcterms:created xsi:type="dcterms:W3CDTF">2022-12-31T18:46:00Z</dcterms:created>
  <dcterms:modified xsi:type="dcterms:W3CDTF">2022-12-31T18:46:00Z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0x01010008B634E84206E9469A5A091EA5217B36</vt:lpwstr>
  </property>
  <property fmtid="{D5CDD505-2E9C-101B-9397-08002B2CF9AE}" pid="3" name="MediaServiceImageTags">
    <vt:lpwstr/>
  </property>
</Properties>
</file>